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22D5B743" w14:textId="5F3F51B3" w:rsidR="009C661D" w:rsidRDefault="00356B79" w:rsidP="009C661D">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43521098" w:history="1">
            <w:r w:rsidR="009C661D" w:rsidRPr="00F02F4B">
              <w:rPr>
                <w:rStyle w:val="Hyperlink"/>
                <w:noProof/>
              </w:rPr>
              <w:t>1</w:t>
            </w:r>
            <w:r w:rsidR="009C661D">
              <w:rPr>
                <w:rFonts w:eastAsiaTheme="minorEastAsia"/>
                <w:noProof/>
                <w:kern w:val="2"/>
                <w:lang w:val="ru-RU" w:eastAsia="ru-RU"/>
                <w14:ligatures w14:val="standardContextual"/>
              </w:rPr>
              <w:tab/>
            </w:r>
            <w:r w:rsidR="009C661D" w:rsidRPr="00F02F4B">
              <w:rPr>
                <w:rStyle w:val="Hyperlink"/>
                <w:noProof/>
              </w:rPr>
              <w:t>Purpose</w:t>
            </w:r>
            <w:r w:rsidR="009C661D">
              <w:rPr>
                <w:noProof/>
                <w:webHidden/>
              </w:rPr>
              <w:tab/>
            </w:r>
            <w:r w:rsidR="009C661D">
              <w:rPr>
                <w:noProof/>
                <w:webHidden/>
              </w:rPr>
              <w:fldChar w:fldCharType="begin"/>
            </w:r>
            <w:r w:rsidR="009C661D">
              <w:rPr>
                <w:noProof/>
                <w:webHidden/>
              </w:rPr>
              <w:instrText xml:space="preserve"> PAGEREF _Toc143521098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7BE44BB2" w14:textId="527DCD00" w:rsidR="009C661D" w:rsidRDefault="007F48EF" w:rsidP="009C661D">
          <w:pPr>
            <w:pStyle w:val="TOC1"/>
            <w:rPr>
              <w:rFonts w:eastAsiaTheme="minorEastAsia"/>
              <w:noProof/>
              <w:kern w:val="2"/>
              <w:lang w:val="ru-RU" w:eastAsia="ru-RU"/>
              <w14:ligatures w14:val="standardContextual"/>
            </w:rPr>
          </w:pPr>
          <w:hyperlink w:anchor="_Toc143521099" w:history="1">
            <w:r w:rsidR="009C661D" w:rsidRPr="00F02F4B">
              <w:rPr>
                <w:rStyle w:val="Hyperlink"/>
                <w:noProof/>
              </w:rPr>
              <w:t>2</w:t>
            </w:r>
            <w:r w:rsidR="009C661D">
              <w:rPr>
                <w:rFonts w:eastAsiaTheme="minorEastAsia"/>
                <w:noProof/>
                <w:kern w:val="2"/>
                <w:lang w:val="ru-RU" w:eastAsia="ru-RU"/>
                <w14:ligatures w14:val="standardContextual"/>
              </w:rPr>
              <w:tab/>
            </w:r>
            <w:r w:rsidR="009C661D" w:rsidRPr="00F02F4B">
              <w:rPr>
                <w:rStyle w:val="Hyperlink"/>
                <w:noProof/>
              </w:rPr>
              <w:t>Company</w:t>
            </w:r>
            <w:r w:rsidR="009C661D" w:rsidRPr="00F02F4B">
              <w:rPr>
                <w:rStyle w:val="Hyperlink"/>
                <w:noProof/>
                <w:spacing w:val="-1"/>
              </w:rPr>
              <w:t xml:space="preserve"> </w:t>
            </w:r>
            <w:r w:rsidR="009C661D" w:rsidRPr="00F02F4B">
              <w:rPr>
                <w:rStyle w:val="Hyperlink"/>
                <w:noProof/>
              </w:rPr>
              <w:t>Profile</w:t>
            </w:r>
            <w:r w:rsidR="009C661D">
              <w:rPr>
                <w:noProof/>
                <w:webHidden/>
              </w:rPr>
              <w:tab/>
            </w:r>
            <w:r w:rsidR="009C661D">
              <w:rPr>
                <w:noProof/>
                <w:webHidden/>
              </w:rPr>
              <w:fldChar w:fldCharType="begin"/>
            </w:r>
            <w:r w:rsidR="009C661D">
              <w:rPr>
                <w:noProof/>
                <w:webHidden/>
              </w:rPr>
              <w:instrText xml:space="preserve"> PAGEREF _Toc143521099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0038DB03" w14:textId="71631A4C" w:rsidR="009C661D" w:rsidRDefault="007F48EF" w:rsidP="009C661D">
          <w:pPr>
            <w:pStyle w:val="TOC1"/>
            <w:rPr>
              <w:rFonts w:eastAsiaTheme="minorEastAsia"/>
              <w:noProof/>
              <w:kern w:val="2"/>
              <w:lang w:val="ru-RU" w:eastAsia="ru-RU"/>
              <w14:ligatures w14:val="standardContextual"/>
            </w:rPr>
          </w:pPr>
          <w:hyperlink w:anchor="_Toc143521100" w:history="1">
            <w:r w:rsidR="009C661D" w:rsidRPr="00F02F4B">
              <w:rPr>
                <w:rStyle w:val="Hyperlink"/>
                <w:noProof/>
              </w:rPr>
              <w:t>3</w:t>
            </w:r>
            <w:r w:rsidR="009C661D">
              <w:rPr>
                <w:rFonts w:eastAsiaTheme="minorEastAsia"/>
                <w:noProof/>
                <w:kern w:val="2"/>
                <w:lang w:val="ru-RU" w:eastAsia="ru-RU"/>
                <w14:ligatures w14:val="standardContextual"/>
              </w:rPr>
              <w:tab/>
            </w:r>
            <w:r w:rsidR="009C661D" w:rsidRPr="00F02F4B">
              <w:rPr>
                <w:rStyle w:val="Hyperlink"/>
                <w:noProof/>
              </w:rPr>
              <w:t>Quality Organization</w:t>
            </w:r>
            <w:r w:rsidR="009C661D">
              <w:rPr>
                <w:noProof/>
                <w:webHidden/>
              </w:rPr>
              <w:tab/>
            </w:r>
            <w:r w:rsidR="009C661D">
              <w:rPr>
                <w:noProof/>
                <w:webHidden/>
              </w:rPr>
              <w:fldChar w:fldCharType="begin"/>
            </w:r>
            <w:r w:rsidR="009C661D">
              <w:rPr>
                <w:noProof/>
                <w:webHidden/>
              </w:rPr>
              <w:instrText xml:space="preserve"> PAGEREF _Toc143521100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2036B292" w14:textId="27BB89E5" w:rsidR="009C661D" w:rsidRDefault="007F48EF" w:rsidP="009C661D">
          <w:pPr>
            <w:pStyle w:val="TOC1"/>
            <w:rPr>
              <w:rFonts w:eastAsiaTheme="minorEastAsia"/>
              <w:noProof/>
              <w:kern w:val="2"/>
              <w:lang w:val="ru-RU" w:eastAsia="ru-RU"/>
              <w14:ligatures w14:val="standardContextual"/>
            </w:rPr>
          </w:pPr>
          <w:hyperlink w:anchor="_Toc143521101" w:history="1">
            <w:r w:rsidR="009C661D" w:rsidRPr="00F02F4B">
              <w:rPr>
                <w:rStyle w:val="Hyperlink"/>
                <w:noProof/>
              </w:rPr>
              <w:t>4</w:t>
            </w:r>
            <w:r w:rsidR="009C661D">
              <w:rPr>
                <w:rFonts w:eastAsiaTheme="minorEastAsia"/>
                <w:noProof/>
                <w:kern w:val="2"/>
                <w:lang w:val="ru-RU" w:eastAsia="ru-RU"/>
                <w14:ligatures w14:val="standardContextual"/>
              </w:rPr>
              <w:tab/>
            </w:r>
            <w:r w:rsidR="009C661D" w:rsidRPr="00F02F4B">
              <w:rPr>
                <w:rStyle w:val="Hyperlink"/>
                <w:noProof/>
              </w:rPr>
              <w:t>Governance</w:t>
            </w:r>
            <w:r w:rsidR="009C661D">
              <w:rPr>
                <w:noProof/>
                <w:webHidden/>
              </w:rPr>
              <w:tab/>
            </w:r>
            <w:r w:rsidR="009C661D">
              <w:rPr>
                <w:noProof/>
                <w:webHidden/>
              </w:rPr>
              <w:fldChar w:fldCharType="begin"/>
            </w:r>
            <w:r w:rsidR="009C661D">
              <w:rPr>
                <w:noProof/>
                <w:webHidden/>
              </w:rPr>
              <w:instrText xml:space="preserve"> PAGEREF _Toc143521101 \h </w:instrText>
            </w:r>
            <w:r w:rsidR="009C661D">
              <w:rPr>
                <w:noProof/>
                <w:webHidden/>
              </w:rPr>
            </w:r>
            <w:r w:rsidR="009C661D">
              <w:rPr>
                <w:noProof/>
                <w:webHidden/>
              </w:rPr>
              <w:fldChar w:fldCharType="separate"/>
            </w:r>
            <w:r w:rsidR="009C661D">
              <w:rPr>
                <w:noProof/>
                <w:webHidden/>
              </w:rPr>
              <w:t>4</w:t>
            </w:r>
            <w:r w:rsidR="009C661D">
              <w:rPr>
                <w:noProof/>
                <w:webHidden/>
              </w:rPr>
              <w:fldChar w:fldCharType="end"/>
            </w:r>
          </w:hyperlink>
        </w:p>
        <w:p w14:paraId="6D6D5285" w14:textId="5874F166"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02" w:history="1">
            <w:r w:rsidR="009C661D" w:rsidRPr="00F02F4B">
              <w:rPr>
                <w:rStyle w:val="Hyperlink"/>
                <w:noProof/>
              </w:rPr>
              <w:t>4.1</w:t>
            </w:r>
            <w:r w:rsidR="009C661D">
              <w:rPr>
                <w:rFonts w:eastAsiaTheme="minorEastAsia"/>
                <w:noProof/>
                <w:kern w:val="2"/>
                <w:lang w:val="ru-RU" w:eastAsia="ru-RU"/>
                <w14:ligatures w14:val="standardContextual"/>
              </w:rPr>
              <w:tab/>
            </w:r>
            <w:r w:rsidR="009C661D" w:rsidRPr="00F02F4B">
              <w:rPr>
                <w:rStyle w:val="Hyperlink"/>
                <w:noProof/>
              </w:rPr>
              <w:t>Leadership Team</w:t>
            </w:r>
            <w:r w:rsidR="009C661D">
              <w:rPr>
                <w:noProof/>
                <w:webHidden/>
              </w:rPr>
              <w:tab/>
            </w:r>
            <w:r w:rsidR="009C661D">
              <w:rPr>
                <w:noProof/>
                <w:webHidden/>
              </w:rPr>
              <w:fldChar w:fldCharType="begin"/>
            </w:r>
            <w:r w:rsidR="009C661D">
              <w:rPr>
                <w:noProof/>
                <w:webHidden/>
              </w:rPr>
              <w:instrText xml:space="preserve"> PAGEREF _Toc143521102 \h </w:instrText>
            </w:r>
            <w:r w:rsidR="009C661D">
              <w:rPr>
                <w:noProof/>
                <w:webHidden/>
              </w:rPr>
            </w:r>
            <w:r w:rsidR="009C661D">
              <w:rPr>
                <w:noProof/>
                <w:webHidden/>
              </w:rPr>
              <w:fldChar w:fldCharType="separate"/>
            </w:r>
            <w:r w:rsidR="009C661D">
              <w:rPr>
                <w:noProof/>
                <w:webHidden/>
              </w:rPr>
              <w:t>4</w:t>
            </w:r>
            <w:r w:rsidR="009C661D">
              <w:rPr>
                <w:noProof/>
                <w:webHidden/>
              </w:rPr>
              <w:fldChar w:fldCharType="end"/>
            </w:r>
          </w:hyperlink>
        </w:p>
        <w:p w14:paraId="1603AB7C" w14:textId="3D900F11" w:rsidR="009C661D" w:rsidRDefault="007F48EF" w:rsidP="009C661D">
          <w:pPr>
            <w:pStyle w:val="TOC1"/>
            <w:rPr>
              <w:rFonts w:eastAsiaTheme="minorEastAsia"/>
              <w:noProof/>
              <w:kern w:val="2"/>
              <w:lang w:val="ru-RU" w:eastAsia="ru-RU"/>
              <w14:ligatures w14:val="standardContextual"/>
            </w:rPr>
          </w:pPr>
          <w:hyperlink w:anchor="_Toc143521103" w:history="1">
            <w:r w:rsidR="009C661D" w:rsidRPr="00F02F4B">
              <w:rPr>
                <w:rStyle w:val="Hyperlink"/>
                <w:noProof/>
              </w:rPr>
              <w:t>5</w:t>
            </w:r>
            <w:r w:rsidR="009C661D">
              <w:rPr>
                <w:rFonts w:eastAsiaTheme="minorEastAsia"/>
                <w:noProof/>
                <w:kern w:val="2"/>
                <w:lang w:val="ru-RU" w:eastAsia="ru-RU"/>
                <w14:ligatures w14:val="standardContextual"/>
              </w:rPr>
              <w:tab/>
            </w:r>
            <w:r w:rsidR="009C661D" w:rsidRPr="00F02F4B">
              <w:rPr>
                <w:rStyle w:val="Hyperlink"/>
                <w:noProof/>
              </w:rPr>
              <w:t>Management Review</w:t>
            </w:r>
            <w:r w:rsidR="009C661D">
              <w:rPr>
                <w:noProof/>
                <w:webHidden/>
              </w:rPr>
              <w:tab/>
            </w:r>
            <w:r w:rsidR="009C661D">
              <w:rPr>
                <w:noProof/>
                <w:webHidden/>
              </w:rPr>
              <w:fldChar w:fldCharType="begin"/>
            </w:r>
            <w:r w:rsidR="009C661D">
              <w:rPr>
                <w:noProof/>
                <w:webHidden/>
              </w:rPr>
              <w:instrText xml:space="preserve"> PAGEREF _Toc143521103 \h </w:instrText>
            </w:r>
            <w:r w:rsidR="009C661D">
              <w:rPr>
                <w:noProof/>
                <w:webHidden/>
              </w:rPr>
            </w:r>
            <w:r w:rsidR="009C661D">
              <w:rPr>
                <w:noProof/>
                <w:webHidden/>
              </w:rPr>
              <w:fldChar w:fldCharType="separate"/>
            </w:r>
            <w:r w:rsidR="009C661D">
              <w:rPr>
                <w:noProof/>
                <w:webHidden/>
              </w:rPr>
              <w:t>5</w:t>
            </w:r>
            <w:r w:rsidR="009C661D">
              <w:rPr>
                <w:noProof/>
                <w:webHidden/>
              </w:rPr>
              <w:fldChar w:fldCharType="end"/>
            </w:r>
          </w:hyperlink>
        </w:p>
        <w:p w14:paraId="25D66E91" w14:textId="19998FE8" w:rsidR="009C661D" w:rsidRDefault="007F48EF" w:rsidP="009C661D">
          <w:pPr>
            <w:pStyle w:val="TOC1"/>
            <w:rPr>
              <w:rFonts w:eastAsiaTheme="minorEastAsia"/>
              <w:noProof/>
              <w:kern w:val="2"/>
              <w:lang w:val="ru-RU" w:eastAsia="ru-RU"/>
              <w14:ligatures w14:val="standardContextual"/>
            </w:rPr>
          </w:pPr>
          <w:hyperlink w:anchor="_Toc143521104" w:history="1">
            <w:r w:rsidR="009C661D" w:rsidRPr="00F02F4B">
              <w:rPr>
                <w:rStyle w:val="Hyperlink"/>
                <w:noProof/>
              </w:rPr>
              <w:t>6</w:t>
            </w:r>
            <w:r w:rsidR="009C661D">
              <w:rPr>
                <w:rFonts w:eastAsiaTheme="minorEastAsia"/>
                <w:noProof/>
                <w:kern w:val="2"/>
                <w:lang w:val="ru-RU" w:eastAsia="ru-RU"/>
                <w14:ligatures w14:val="standardContextual"/>
              </w:rPr>
              <w:tab/>
            </w:r>
            <w:r w:rsidR="009C661D" w:rsidRPr="00F02F4B">
              <w:rPr>
                <w:rStyle w:val="Hyperlink"/>
                <w:noProof/>
              </w:rPr>
              <w:t>Resource Management</w:t>
            </w:r>
            <w:r w:rsidR="009C661D">
              <w:rPr>
                <w:noProof/>
                <w:webHidden/>
              </w:rPr>
              <w:tab/>
            </w:r>
            <w:r w:rsidR="009C661D">
              <w:rPr>
                <w:noProof/>
                <w:webHidden/>
              </w:rPr>
              <w:fldChar w:fldCharType="begin"/>
            </w:r>
            <w:r w:rsidR="009C661D">
              <w:rPr>
                <w:noProof/>
                <w:webHidden/>
              </w:rPr>
              <w:instrText xml:space="preserve"> PAGEREF _Toc143521104 \h </w:instrText>
            </w:r>
            <w:r w:rsidR="009C661D">
              <w:rPr>
                <w:noProof/>
                <w:webHidden/>
              </w:rPr>
            </w:r>
            <w:r w:rsidR="009C661D">
              <w:rPr>
                <w:noProof/>
                <w:webHidden/>
              </w:rPr>
              <w:fldChar w:fldCharType="separate"/>
            </w:r>
            <w:r w:rsidR="009C661D">
              <w:rPr>
                <w:noProof/>
                <w:webHidden/>
              </w:rPr>
              <w:t>5</w:t>
            </w:r>
            <w:r w:rsidR="009C661D">
              <w:rPr>
                <w:noProof/>
                <w:webHidden/>
              </w:rPr>
              <w:fldChar w:fldCharType="end"/>
            </w:r>
          </w:hyperlink>
        </w:p>
        <w:p w14:paraId="2E5C8532" w14:textId="30C05FF1" w:rsidR="009C661D" w:rsidRDefault="007F48EF" w:rsidP="009C661D">
          <w:pPr>
            <w:pStyle w:val="TOC1"/>
            <w:rPr>
              <w:rFonts w:eastAsiaTheme="minorEastAsia"/>
              <w:noProof/>
              <w:kern w:val="2"/>
              <w:lang w:val="ru-RU" w:eastAsia="ru-RU"/>
              <w14:ligatures w14:val="standardContextual"/>
            </w:rPr>
          </w:pPr>
          <w:hyperlink w:anchor="_Toc143521105" w:history="1">
            <w:r w:rsidR="009C661D" w:rsidRPr="00F02F4B">
              <w:rPr>
                <w:rStyle w:val="Hyperlink"/>
                <w:noProof/>
              </w:rPr>
              <w:t>7</w:t>
            </w:r>
            <w:r w:rsidR="009C661D">
              <w:rPr>
                <w:rFonts w:eastAsiaTheme="minorEastAsia"/>
                <w:noProof/>
                <w:kern w:val="2"/>
                <w:lang w:val="ru-RU" w:eastAsia="ru-RU"/>
                <w14:ligatures w14:val="standardContextual"/>
              </w:rPr>
              <w:tab/>
            </w:r>
            <w:r w:rsidR="009C661D" w:rsidRPr="00F02F4B">
              <w:rPr>
                <w:rStyle w:val="Hyperlink"/>
                <w:noProof/>
              </w:rPr>
              <w:t>Quality Objectives</w:t>
            </w:r>
            <w:r w:rsidR="009C661D">
              <w:rPr>
                <w:noProof/>
                <w:webHidden/>
              </w:rPr>
              <w:tab/>
            </w:r>
            <w:r w:rsidR="009C661D">
              <w:rPr>
                <w:noProof/>
                <w:webHidden/>
              </w:rPr>
              <w:fldChar w:fldCharType="begin"/>
            </w:r>
            <w:r w:rsidR="009C661D">
              <w:rPr>
                <w:noProof/>
                <w:webHidden/>
              </w:rPr>
              <w:instrText xml:space="preserve"> PAGEREF _Toc143521105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2E6EA4CF" w14:textId="6DC5EB1F" w:rsidR="009C661D" w:rsidRDefault="007F48EF" w:rsidP="009C661D">
          <w:pPr>
            <w:pStyle w:val="TOC1"/>
            <w:rPr>
              <w:rFonts w:eastAsiaTheme="minorEastAsia"/>
              <w:noProof/>
              <w:kern w:val="2"/>
              <w:lang w:val="ru-RU" w:eastAsia="ru-RU"/>
              <w14:ligatures w14:val="standardContextual"/>
            </w:rPr>
          </w:pPr>
          <w:hyperlink w:anchor="_Toc143521106" w:history="1">
            <w:r w:rsidR="009C661D" w:rsidRPr="00F02F4B">
              <w:rPr>
                <w:rStyle w:val="Hyperlink"/>
                <w:noProof/>
              </w:rPr>
              <w:t>8</w:t>
            </w:r>
            <w:r w:rsidR="009C661D">
              <w:rPr>
                <w:rFonts w:eastAsiaTheme="minorEastAsia"/>
                <w:noProof/>
                <w:kern w:val="2"/>
                <w:lang w:val="ru-RU" w:eastAsia="ru-RU"/>
                <w14:ligatures w14:val="standardContextual"/>
              </w:rPr>
              <w:tab/>
            </w:r>
            <w:r w:rsidR="009C661D" w:rsidRPr="00F02F4B">
              <w:rPr>
                <w:rStyle w:val="Hyperlink"/>
                <w:noProof/>
              </w:rPr>
              <w:t>Quality Strategy and Planning</w:t>
            </w:r>
            <w:r w:rsidR="009C661D">
              <w:rPr>
                <w:noProof/>
                <w:webHidden/>
              </w:rPr>
              <w:tab/>
            </w:r>
            <w:r w:rsidR="009C661D">
              <w:rPr>
                <w:noProof/>
                <w:webHidden/>
              </w:rPr>
              <w:fldChar w:fldCharType="begin"/>
            </w:r>
            <w:r w:rsidR="009C661D">
              <w:rPr>
                <w:noProof/>
                <w:webHidden/>
              </w:rPr>
              <w:instrText xml:space="preserve"> PAGEREF _Toc143521106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65B56447" w14:textId="2E77CE31" w:rsidR="009C661D" w:rsidRDefault="007F48EF" w:rsidP="009C661D">
          <w:pPr>
            <w:pStyle w:val="TOC1"/>
            <w:rPr>
              <w:rFonts w:eastAsiaTheme="minorEastAsia"/>
              <w:noProof/>
              <w:kern w:val="2"/>
              <w:lang w:val="ru-RU" w:eastAsia="ru-RU"/>
              <w14:ligatures w14:val="standardContextual"/>
            </w:rPr>
          </w:pPr>
          <w:hyperlink w:anchor="_Toc143521107" w:history="1">
            <w:r w:rsidR="009C661D" w:rsidRPr="00F02F4B">
              <w:rPr>
                <w:rStyle w:val="Hyperlink"/>
                <w:noProof/>
              </w:rPr>
              <w:t>9</w:t>
            </w:r>
            <w:r w:rsidR="009C661D">
              <w:rPr>
                <w:rFonts w:eastAsiaTheme="minorEastAsia"/>
                <w:noProof/>
                <w:kern w:val="2"/>
                <w:lang w:val="ru-RU" w:eastAsia="ru-RU"/>
                <w14:ligatures w14:val="standardContextual"/>
              </w:rPr>
              <w:tab/>
            </w:r>
            <w:r w:rsidR="009C661D" w:rsidRPr="00F02F4B">
              <w:rPr>
                <w:rStyle w:val="Hyperlink"/>
                <w:noProof/>
              </w:rPr>
              <w:t>Leadership Responsibilities</w:t>
            </w:r>
            <w:r w:rsidR="009C661D">
              <w:rPr>
                <w:noProof/>
                <w:webHidden/>
              </w:rPr>
              <w:tab/>
            </w:r>
            <w:r w:rsidR="009C661D">
              <w:rPr>
                <w:noProof/>
                <w:webHidden/>
              </w:rPr>
              <w:fldChar w:fldCharType="begin"/>
            </w:r>
            <w:r w:rsidR="009C661D">
              <w:rPr>
                <w:noProof/>
                <w:webHidden/>
              </w:rPr>
              <w:instrText xml:space="preserve"> PAGEREF _Toc143521107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7AD4D1C7" w14:textId="103BA386" w:rsidR="009C661D" w:rsidRDefault="007F48EF" w:rsidP="009C661D">
          <w:pPr>
            <w:pStyle w:val="TOC1"/>
            <w:rPr>
              <w:rFonts w:eastAsiaTheme="minorEastAsia"/>
              <w:noProof/>
              <w:kern w:val="2"/>
              <w:lang w:val="ru-RU" w:eastAsia="ru-RU"/>
              <w14:ligatures w14:val="standardContextual"/>
            </w:rPr>
          </w:pPr>
          <w:hyperlink w:anchor="_Toc143521108" w:history="1">
            <w:r w:rsidR="009C661D" w:rsidRPr="00F02F4B">
              <w:rPr>
                <w:rStyle w:val="Hyperlink"/>
                <w:noProof/>
              </w:rPr>
              <w:t>10</w:t>
            </w:r>
            <w:r w:rsidR="009C661D">
              <w:rPr>
                <w:rFonts w:eastAsiaTheme="minorEastAsia"/>
                <w:noProof/>
                <w:kern w:val="2"/>
                <w:lang w:val="ru-RU" w:eastAsia="ru-RU"/>
                <w14:ligatures w14:val="standardContextual"/>
              </w:rPr>
              <w:tab/>
            </w:r>
            <w:r w:rsidR="009C661D" w:rsidRPr="00F02F4B">
              <w:rPr>
                <w:rStyle w:val="Hyperlink"/>
                <w:noProof/>
              </w:rPr>
              <w:t>Quality Management System</w:t>
            </w:r>
            <w:r w:rsidR="009C661D">
              <w:rPr>
                <w:noProof/>
                <w:webHidden/>
              </w:rPr>
              <w:tab/>
            </w:r>
            <w:r w:rsidR="009C661D">
              <w:rPr>
                <w:noProof/>
                <w:webHidden/>
              </w:rPr>
              <w:fldChar w:fldCharType="begin"/>
            </w:r>
            <w:r w:rsidR="009C661D">
              <w:rPr>
                <w:noProof/>
                <w:webHidden/>
              </w:rPr>
              <w:instrText xml:space="preserve"> PAGEREF _Toc143521108 \h </w:instrText>
            </w:r>
            <w:r w:rsidR="009C661D">
              <w:rPr>
                <w:noProof/>
                <w:webHidden/>
              </w:rPr>
            </w:r>
            <w:r w:rsidR="009C661D">
              <w:rPr>
                <w:noProof/>
                <w:webHidden/>
              </w:rPr>
              <w:fldChar w:fldCharType="separate"/>
            </w:r>
            <w:r w:rsidR="009C661D">
              <w:rPr>
                <w:noProof/>
                <w:webHidden/>
              </w:rPr>
              <w:t>7</w:t>
            </w:r>
            <w:r w:rsidR="009C661D">
              <w:rPr>
                <w:noProof/>
                <w:webHidden/>
              </w:rPr>
              <w:fldChar w:fldCharType="end"/>
            </w:r>
          </w:hyperlink>
        </w:p>
        <w:p w14:paraId="5180C544" w14:textId="36CCD398" w:rsidR="009C661D" w:rsidRDefault="007F48EF" w:rsidP="009C661D">
          <w:pPr>
            <w:pStyle w:val="TOC1"/>
            <w:rPr>
              <w:rFonts w:eastAsiaTheme="minorEastAsia"/>
              <w:noProof/>
              <w:kern w:val="2"/>
              <w:lang w:val="ru-RU" w:eastAsia="ru-RU"/>
              <w14:ligatures w14:val="standardContextual"/>
            </w:rPr>
          </w:pPr>
          <w:hyperlink w:anchor="_Toc143521109" w:history="1">
            <w:r w:rsidR="009C661D" w:rsidRPr="00F02F4B">
              <w:rPr>
                <w:rStyle w:val="Hyperlink"/>
                <w:noProof/>
              </w:rPr>
              <w:t>11</w:t>
            </w:r>
            <w:r w:rsidR="009C661D">
              <w:rPr>
                <w:rFonts w:eastAsiaTheme="minorEastAsia"/>
                <w:noProof/>
                <w:kern w:val="2"/>
                <w:lang w:val="ru-RU" w:eastAsia="ru-RU"/>
                <w14:ligatures w14:val="standardContextual"/>
              </w:rPr>
              <w:tab/>
            </w:r>
            <w:r w:rsidR="009C661D" w:rsidRPr="00F02F4B">
              <w:rPr>
                <w:rStyle w:val="Hyperlink"/>
                <w:noProof/>
              </w:rPr>
              <w:t>Documentation of the QMS</w:t>
            </w:r>
            <w:r w:rsidR="009C661D">
              <w:rPr>
                <w:noProof/>
                <w:webHidden/>
              </w:rPr>
              <w:tab/>
            </w:r>
            <w:r w:rsidR="009C661D">
              <w:rPr>
                <w:noProof/>
                <w:webHidden/>
              </w:rPr>
              <w:fldChar w:fldCharType="begin"/>
            </w:r>
            <w:r w:rsidR="009C661D">
              <w:rPr>
                <w:noProof/>
                <w:webHidden/>
              </w:rPr>
              <w:instrText xml:space="preserve"> PAGEREF _Toc143521109 \h </w:instrText>
            </w:r>
            <w:r w:rsidR="009C661D">
              <w:rPr>
                <w:noProof/>
                <w:webHidden/>
              </w:rPr>
            </w:r>
            <w:r w:rsidR="009C661D">
              <w:rPr>
                <w:noProof/>
                <w:webHidden/>
              </w:rPr>
              <w:fldChar w:fldCharType="separate"/>
            </w:r>
            <w:r w:rsidR="009C661D">
              <w:rPr>
                <w:noProof/>
                <w:webHidden/>
              </w:rPr>
              <w:t>8</w:t>
            </w:r>
            <w:r w:rsidR="009C661D">
              <w:rPr>
                <w:noProof/>
                <w:webHidden/>
              </w:rPr>
              <w:fldChar w:fldCharType="end"/>
            </w:r>
          </w:hyperlink>
        </w:p>
        <w:p w14:paraId="541C92D9" w14:textId="688886C5"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0" w:history="1">
            <w:r w:rsidR="009C661D" w:rsidRPr="00F02F4B">
              <w:rPr>
                <w:rStyle w:val="Hyperlink"/>
                <w:noProof/>
              </w:rPr>
              <w:t>11.1</w:t>
            </w:r>
            <w:r w:rsidR="009C661D">
              <w:rPr>
                <w:rFonts w:eastAsiaTheme="minorEastAsia"/>
                <w:noProof/>
                <w:kern w:val="2"/>
                <w:lang w:val="ru-RU" w:eastAsia="ru-RU"/>
                <w14:ligatures w14:val="standardContextual"/>
              </w:rPr>
              <w:tab/>
            </w:r>
            <w:r w:rsidR="009C661D" w:rsidRPr="00F02F4B">
              <w:rPr>
                <w:rStyle w:val="Hyperlink"/>
                <w:noProof/>
              </w:rPr>
              <w:t>Tier One - Master Documents</w:t>
            </w:r>
            <w:r w:rsidR="009C661D">
              <w:rPr>
                <w:noProof/>
                <w:webHidden/>
              </w:rPr>
              <w:tab/>
            </w:r>
            <w:r w:rsidR="009C661D">
              <w:rPr>
                <w:noProof/>
                <w:webHidden/>
              </w:rPr>
              <w:fldChar w:fldCharType="begin"/>
            </w:r>
            <w:r w:rsidR="009C661D">
              <w:rPr>
                <w:noProof/>
                <w:webHidden/>
              </w:rPr>
              <w:instrText xml:space="preserve"> PAGEREF _Toc143521110 \h </w:instrText>
            </w:r>
            <w:r w:rsidR="009C661D">
              <w:rPr>
                <w:noProof/>
                <w:webHidden/>
              </w:rPr>
            </w:r>
            <w:r w:rsidR="009C661D">
              <w:rPr>
                <w:noProof/>
                <w:webHidden/>
              </w:rPr>
              <w:fldChar w:fldCharType="separate"/>
            </w:r>
            <w:r w:rsidR="009C661D">
              <w:rPr>
                <w:noProof/>
                <w:webHidden/>
              </w:rPr>
              <w:t>8</w:t>
            </w:r>
            <w:r w:rsidR="009C661D">
              <w:rPr>
                <w:noProof/>
                <w:webHidden/>
              </w:rPr>
              <w:fldChar w:fldCharType="end"/>
            </w:r>
          </w:hyperlink>
        </w:p>
        <w:p w14:paraId="673A842B" w14:textId="20F5A431"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1" w:history="1">
            <w:r w:rsidR="009C661D" w:rsidRPr="00F02F4B">
              <w:rPr>
                <w:rStyle w:val="Hyperlink"/>
                <w:noProof/>
              </w:rPr>
              <w:t>11.2</w:t>
            </w:r>
            <w:r w:rsidR="009C661D">
              <w:rPr>
                <w:rFonts w:eastAsiaTheme="minorEastAsia"/>
                <w:noProof/>
                <w:kern w:val="2"/>
                <w:lang w:val="ru-RU" w:eastAsia="ru-RU"/>
                <w14:ligatures w14:val="standardContextual"/>
              </w:rPr>
              <w:tab/>
            </w:r>
            <w:r w:rsidR="009C661D" w:rsidRPr="00F02F4B">
              <w:rPr>
                <w:rStyle w:val="Hyperlink"/>
                <w:noProof/>
              </w:rPr>
              <w:t>Tier Two – Policies</w:t>
            </w:r>
            <w:r w:rsidR="009C661D">
              <w:rPr>
                <w:noProof/>
                <w:webHidden/>
              </w:rPr>
              <w:tab/>
            </w:r>
            <w:r w:rsidR="009C661D">
              <w:rPr>
                <w:noProof/>
                <w:webHidden/>
              </w:rPr>
              <w:fldChar w:fldCharType="begin"/>
            </w:r>
            <w:r w:rsidR="009C661D">
              <w:rPr>
                <w:noProof/>
                <w:webHidden/>
              </w:rPr>
              <w:instrText xml:space="preserve"> PAGEREF _Toc143521111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4AED50B1" w14:textId="018BBD20"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2" w:history="1">
            <w:r w:rsidR="009C661D" w:rsidRPr="00F02F4B">
              <w:rPr>
                <w:rStyle w:val="Hyperlink"/>
                <w:noProof/>
              </w:rPr>
              <w:t>11.3</w:t>
            </w:r>
            <w:r w:rsidR="009C661D">
              <w:rPr>
                <w:rFonts w:eastAsiaTheme="minorEastAsia"/>
                <w:noProof/>
                <w:kern w:val="2"/>
                <w:lang w:val="ru-RU" w:eastAsia="ru-RU"/>
                <w14:ligatures w14:val="standardContextual"/>
              </w:rPr>
              <w:tab/>
            </w:r>
            <w:r w:rsidR="009C661D" w:rsidRPr="00F02F4B">
              <w:rPr>
                <w:rStyle w:val="Hyperlink"/>
                <w:noProof/>
              </w:rPr>
              <w:t>Tier Three – Operating Procedures (SOPs, Working Instructions)</w:t>
            </w:r>
            <w:r w:rsidR="009C661D">
              <w:rPr>
                <w:noProof/>
                <w:webHidden/>
              </w:rPr>
              <w:tab/>
            </w:r>
            <w:r w:rsidR="009C661D">
              <w:rPr>
                <w:noProof/>
                <w:webHidden/>
              </w:rPr>
              <w:fldChar w:fldCharType="begin"/>
            </w:r>
            <w:r w:rsidR="009C661D">
              <w:rPr>
                <w:noProof/>
                <w:webHidden/>
              </w:rPr>
              <w:instrText xml:space="preserve"> PAGEREF _Toc143521112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0D3D85CC" w14:textId="6CB188B0"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3" w:history="1">
            <w:r w:rsidR="009C661D" w:rsidRPr="00F02F4B">
              <w:rPr>
                <w:rStyle w:val="Hyperlink"/>
                <w:noProof/>
              </w:rPr>
              <w:t>11.4</w:t>
            </w:r>
            <w:r w:rsidR="009C661D">
              <w:rPr>
                <w:rFonts w:eastAsiaTheme="minorEastAsia"/>
                <w:noProof/>
                <w:kern w:val="2"/>
                <w:lang w:val="ru-RU" w:eastAsia="ru-RU"/>
                <w14:ligatures w14:val="standardContextual"/>
              </w:rPr>
              <w:tab/>
            </w:r>
            <w:r w:rsidR="009C661D" w:rsidRPr="00F02F4B">
              <w:rPr>
                <w:rStyle w:val="Hyperlink"/>
                <w:noProof/>
              </w:rPr>
              <w:t>Tier Four – Records, Reports</w:t>
            </w:r>
            <w:r w:rsidR="009C661D">
              <w:rPr>
                <w:noProof/>
                <w:webHidden/>
              </w:rPr>
              <w:tab/>
            </w:r>
            <w:r w:rsidR="009C661D">
              <w:rPr>
                <w:noProof/>
                <w:webHidden/>
              </w:rPr>
              <w:fldChar w:fldCharType="begin"/>
            </w:r>
            <w:r w:rsidR="009C661D">
              <w:rPr>
                <w:noProof/>
                <w:webHidden/>
              </w:rPr>
              <w:instrText xml:space="preserve"> PAGEREF _Toc143521113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0C42A161" w14:textId="2D07F151"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4" w:history="1">
            <w:r w:rsidR="009C661D" w:rsidRPr="00F02F4B">
              <w:rPr>
                <w:rStyle w:val="Hyperlink"/>
                <w:noProof/>
              </w:rPr>
              <w:t>11.5</w:t>
            </w:r>
            <w:r w:rsidR="009C661D">
              <w:rPr>
                <w:rFonts w:eastAsiaTheme="minorEastAsia"/>
                <w:noProof/>
                <w:kern w:val="2"/>
                <w:lang w:val="ru-RU" w:eastAsia="ru-RU"/>
                <w14:ligatures w14:val="standardContextual"/>
              </w:rPr>
              <w:tab/>
            </w:r>
            <w:r w:rsidR="009C661D" w:rsidRPr="00F02F4B">
              <w:rPr>
                <w:rStyle w:val="Hyperlink"/>
                <w:noProof/>
              </w:rPr>
              <w:t>Applicability of QMS documentation</w:t>
            </w:r>
            <w:r w:rsidR="009C661D">
              <w:rPr>
                <w:noProof/>
                <w:webHidden/>
              </w:rPr>
              <w:tab/>
            </w:r>
            <w:r w:rsidR="009C661D">
              <w:rPr>
                <w:noProof/>
                <w:webHidden/>
              </w:rPr>
              <w:fldChar w:fldCharType="begin"/>
            </w:r>
            <w:r w:rsidR="009C661D">
              <w:rPr>
                <w:noProof/>
                <w:webHidden/>
              </w:rPr>
              <w:instrText xml:space="preserve"> PAGEREF _Toc143521114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7335B78A" w14:textId="2FD6A4E5" w:rsidR="009C661D" w:rsidRDefault="007F48EF" w:rsidP="009C661D">
          <w:pPr>
            <w:pStyle w:val="TOC1"/>
            <w:rPr>
              <w:rFonts w:eastAsiaTheme="minorEastAsia"/>
              <w:noProof/>
              <w:kern w:val="2"/>
              <w:lang w:val="ru-RU" w:eastAsia="ru-RU"/>
              <w14:ligatures w14:val="standardContextual"/>
            </w:rPr>
          </w:pPr>
          <w:hyperlink w:anchor="_Toc143521115" w:history="1">
            <w:r w:rsidR="009C661D" w:rsidRPr="00F02F4B">
              <w:rPr>
                <w:rStyle w:val="Hyperlink"/>
                <w:noProof/>
              </w:rPr>
              <w:t>12</w:t>
            </w:r>
            <w:r w:rsidR="009C661D">
              <w:rPr>
                <w:rFonts w:eastAsiaTheme="minorEastAsia"/>
                <w:noProof/>
                <w:kern w:val="2"/>
                <w:lang w:val="ru-RU" w:eastAsia="ru-RU"/>
                <w14:ligatures w14:val="standardContextual"/>
              </w:rPr>
              <w:tab/>
            </w:r>
            <w:r w:rsidR="009C661D" w:rsidRPr="00F02F4B">
              <w:rPr>
                <w:rStyle w:val="Hyperlink"/>
                <w:noProof/>
              </w:rPr>
              <w:t>Fundamental Quality Systems and Processes</w:t>
            </w:r>
            <w:r w:rsidR="009C661D">
              <w:rPr>
                <w:noProof/>
                <w:webHidden/>
              </w:rPr>
              <w:tab/>
            </w:r>
            <w:r w:rsidR="009C661D">
              <w:rPr>
                <w:noProof/>
                <w:webHidden/>
              </w:rPr>
              <w:fldChar w:fldCharType="begin"/>
            </w:r>
            <w:r w:rsidR="009C661D">
              <w:rPr>
                <w:noProof/>
                <w:webHidden/>
              </w:rPr>
              <w:instrText xml:space="preserve"> PAGEREF _Toc143521115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6ECF16E6" w14:textId="5AD4CE1E"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6" w:history="1">
            <w:r w:rsidR="009C661D" w:rsidRPr="00F02F4B">
              <w:rPr>
                <w:rStyle w:val="Hyperlink"/>
                <w:noProof/>
              </w:rPr>
              <w:t>12.1</w:t>
            </w:r>
            <w:r w:rsidR="009C661D">
              <w:rPr>
                <w:rFonts w:eastAsiaTheme="minorEastAsia"/>
                <w:noProof/>
                <w:kern w:val="2"/>
                <w:lang w:val="ru-RU" w:eastAsia="ru-RU"/>
                <w14:ligatures w14:val="standardContextual"/>
              </w:rPr>
              <w:tab/>
            </w:r>
            <w:r w:rsidR="009C661D" w:rsidRPr="00F02F4B">
              <w:rPr>
                <w:rStyle w:val="Hyperlink"/>
                <w:noProof/>
              </w:rPr>
              <w:t xml:space="preserve">Quality Risk Management</w:t>
            </w:r>
            <w:r w:rsidR="009C661D">
              <w:rPr>
                <w:noProof/>
                <w:webHidden/>
              </w:rPr>
              <w:tab/>
            </w:r>
            <w:r w:rsidR="009C661D">
              <w:rPr>
                <w:noProof/>
                <w:webHidden/>
              </w:rPr>
              <w:fldChar w:fldCharType="begin"/>
            </w:r>
            <w:r w:rsidR="009C661D">
              <w:rPr>
                <w:noProof/>
                <w:webHidden/>
              </w:rPr>
              <w:instrText xml:space="preserve"> PAGEREF _Toc143521116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19AE79CE" w14:textId="22B1DA56"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7" w:history="1">
            <w:r w:rsidR="009C661D" w:rsidRPr="00F02F4B">
              <w:rPr>
                <w:rStyle w:val="Hyperlink"/>
                <w:noProof/>
              </w:rPr>
              <w:t>12.2</w:t>
            </w:r>
            <w:r w:rsidR="009C661D">
              <w:rPr>
                <w:rFonts w:eastAsiaTheme="minorEastAsia"/>
                <w:noProof/>
                <w:kern w:val="2"/>
                <w:lang w:val="ru-RU" w:eastAsia="ru-RU"/>
                <w14:ligatures w14:val="standardContextual"/>
              </w:rPr>
              <w:tab/>
            </w:r>
            <w:r w:rsidR="009C661D" w:rsidRPr="00F02F4B">
              <w:rPr>
                <w:rStyle w:val="Hyperlink"/>
                <w:noProof/>
              </w:rPr>
              <w:t>Data and</w:t>
            </w:r>
            <w:r w:rsidR="009C661D" w:rsidRPr="00F02F4B">
              <w:rPr>
                <w:rStyle w:val="Hyperlink"/>
                <w:noProof/>
                <w:spacing w:val="-3"/>
              </w:rPr>
              <w:t xml:space="preserve"> </w:t>
            </w:r>
            <w:r w:rsidR="009C661D" w:rsidRPr="00F02F4B">
              <w:rPr>
                <w:rStyle w:val="Hyperlink"/>
                <w:noProof/>
              </w:rPr>
              <w:t>Records</w:t>
            </w:r>
            <w:r w:rsidR="009C661D">
              <w:rPr>
                <w:noProof/>
                <w:webHidden/>
              </w:rPr>
              <w:tab/>
            </w:r>
            <w:r w:rsidR="009C661D">
              <w:rPr>
                <w:noProof/>
                <w:webHidden/>
              </w:rPr>
              <w:fldChar w:fldCharType="begin"/>
            </w:r>
            <w:r w:rsidR="009C661D">
              <w:rPr>
                <w:noProof/>
                <w:webHidden/>
              </w:rPr>
              <w:instrText xml:space="preserve"> PAGEREF _Toc143521117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55839E3D" w14:textId="713CCD4A"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8" w:history="1">
            <w:r w:rsidR="009C661D" w:rsidRPr="00F02F4B">
              <w:rPr>
                <w:rStyle w:val="Hyperlink"/>
                <w:noProof/>
              </w:rPr>
              <w:t>12.3</w:t>
            </w:r>
            <w:r w:rsidR="009C661D">
              <w:rPr>
                <w:rFonts w:eastAsiaTheme="minorEastAsia"/>
                <w:noProof/>
                <w:kern w:val="2"/>
                <w:lang w:val="ru-RU" w:eastAsia="ru-RU"/>
                <w14:ligatures w14:val="standardContextual"/>
              </w:rPr>
              <w:tab/>
            </w:r>
            <w:r w:rsidR="009C661D" w:rsidRPr="00F02F4B">
              <w:rPr>
                <w:rStyle w:val="Hyperlink"/>
                <w:noProof/>
              </w:rPr>
              <w:t>Events</w:t>
            </w:r>
            <w:r w:rsidR="009C661D">
              <w:rPr>
                <w:noProof/>
                <w:webHidden/>
              </w:rPr>
              <w:tab/>
            </w:r>
            <w:r w:rsidR="009C661D">
              <w:rPr>
                <w:noProof/>
                <w:webHidden/>
              </w:rPr>
              <w:fldChar w:fldCharType="begin"/>
            </w:r>
            <w:r w:rsidR="009C661D">
              <w:rPr>
                <w:noProof/>
                <w:webHidden/>
              </w:rPr>
              <w:instrText xml:space="preserve"> PAGEREF _Toc143521118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355A7229" w14:textId="4334060D"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9" w:history="1">
            <w:r w:rsidR="009C661D" w:rsidRPr="00F02F4B">
              <w:rPr>
                <w:rStyle w:val="Hyperlink"/>
                <w:noProof/>
              </w:rPr>
              <w:t>12.4</w:t>
            </w:r>
            <w:r w:rsidR="009C661D">
              <w:rPr>
                <w:rFonts w:eastAsiaTheme="minorEastAsia"/>
                <w:noProof/>
                <w:kern w:val="2"/>
                <w:lang w:val="ru-RU" w:eastAsia="ru-RU"/>
                <w14:ligatures w14:val="standardContextual"/>
              </w:rPr>
              <w:tab/>
            </w:r>
            <w:r w:rsidR="009C661D" w:rsidRPr="00F02F4B">
              <w:rPr>
                <w:rStyle w:val="Hyperlink"/>
                <w:noProof/>
              </w:rPr>
              <w:t xml:space="preserve">Change Management</w:t>
            </w:r>
            <w:r w:rsidR="009C661D">
              <w:rPr>
                <w:noProof/>
                <w:webHidden/>
              </w:rPr>
              <w:tab/>
            </w:r>
            <w:r w:rsidR="009C661D">
              <w:rPr>
                <w:noProof/>
                <w:webHidden/>
              </w:rPr>
              <w:fldChar w:fldCharType="begin"/>
            </w:r>
            <w:r w:rsidR="009C661D">
              <w:rPr>
                <w:noProof/>
                <w:webHidden/>
              </w:rPr>
              <w:instrText xml:space="preserve"> PAGEREF _Toc143521119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69DA6D3A" w14:textId="4A2ABFCD"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0" w:history="1">
            <w:r w:rsidR="009C661D" w:rsidRPr="00F02F4B">
              <w:rPr>
                <w:rStyle w:val="Hyperlink"/>
                <w:noProof/>
              </w:rPr>
              <w:t>12.5</w:t>
            </w:r>
            <w:r w:rsidR="009C661D">
              <w:rPr>
                <w:rFonts w:eastAsiaTheme="minorEastAsia"/>
                <w:noProof/>
                <w:kern w:val="2"/>
                <w:lang w:val="ru-RU" w:eastAsia="ru-RU"/>
                <w14:ligatures w14:val="standardContextual"/>
              </w:rPr>
              <w:tab/>
            </w:r>
            <w:r w:rsidR="009C661D" w:rsidRPr="00F02F4B">
              <w:rPr>
                <w:rStyle w:val="Hyperlink"/>
                <w:noProof/>
              </w:rPr>
              <w:t xml:space="preserve">Audits Management</w:t>
            </w:r>
            <w:r w:rsidR="009C661D">
              <w:rPr>
                <w:noProof/>
                <w:webHidden/>
              </w:rPr>
              <w:tab/>
            </w:r>
            <w:r w:rsidR="009C661D">
              <w:rPr>
                <w:noProof/>
                <w:webHidden/>
              </w:rPr>
              <w:fldChar w:fldCharType="begin"/>
            </w:r>
            <w:r w:rsidR="009C661D">
              <w:rPr>
                <w:noProof/>
                <w:webHidden/>
              </w:rPr>
              <w:instrText xml:space="preserve"> PAGEREF _Toc143521120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7B9D3E35" w14:textId="3C993655"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1" w:history="1">
            <w:r w:rsidR="009C661D" w:rsidRPr="00F02F4B">
              <w:rPr>
                <w:rStyle w:val="Hyperlink"/>
                <w:noProof/>
              </w:rPr>
              <w:t>12.6</w:t>
            </w:r>
            <w:r w:rsidR="009C661D">
              <w:rPr>
                <w:rFonts w:eastAsiaTheme="minorEastAsia"/>
                <w:noProof/>
                <w:kern w:val="2"/>
                <w:lang w:val="ru-RU" w:eastAsia="ru-RU"/>
                <w14:ligatures w14:val="standardContextual"/>
              </w:rPr>
              <w:tab/>
            </w:r>
            <w:r w:rsidR="009C661D" w:rsidRPr="00F02F4B">
              <w:rPr>
                <w:rStyle w:val="Hyperlink"/>
                <w:noProof/>
              </w:rPr>
              <w:t>Escalation Event Management</w:t>
            </w:r>
            <w:r w:rsidR="009C661D">
              <w:rPr>
                <w:noProof/>
                <w:webHidden/>
              </w:rPr>
              <w:tab/>
            </w:r>
            <w:r w:rsidR="009C661D">
              <w:rPr>
                <w:noProof/>
                <w:webHidden/>
              </w:rPr>
              <w:fldChar w:fldCharType="begin"/>
            </w:r>
            <w:r w:rsidR="009C661D">
              <w:rPr>
                <w:noProof/>
                <w:webHidden/>
              </w:rPr>
              <w:instrText xml:space="preserve"> PAGEREF _Toc143521121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5A6865EC" w14:textId="37D08BD3"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2" w:history="1">
            <w:r w:rsidR="009C661D" w:rsidRPr="00F02F4B">
              <w:rPr>
                <w:rStyle w:val="Hyperlink"/>
                <w:noProof/>
              </w:rPr>
              <w:t>12.7</w:t>
            </w:r>
            <w:r w:rsidR="009C661D">
              <w:rPr>
                <w:rFonts w:eastAsiaTheme="minorEastAsia"/>
                <w:noProof/>
                <w:kern w:val="2"/>
                <w:lang w:val="ru-RU" w:eastAsia="ru-RU"/>
                <w14:ligatures w14:val="standardContextual"/>
              </w:rPr>
              <w:tab/>
            </w:r>
            <w:r w:rsidR="009C661D" w:rsidRPr="00F02F4B">
              <w:rPr>
                <w:rStyle w:val="Hyperlink"/>
                <w:noProof/>
              </w:rPr>
              <w:t xml:space="preserve">Suppliers, Customers Management</w:t>
            </w:r>
            <w:r w:rsidR="009C661D">
              <w:rPr>
                <w:noProof/>
                <w:webHidden/>
              </w:rPr>
              <w:tab/>
            </w:r>
            <w:r w:rsidR="009C661D">
              <w:rPr>
                <w:noProof/>
                <w:webHidden/>
              </w:rPr>
              <w:fldChar w:fldCharType="begin"/>
            </w:r>
            <w:r w:rsidR="009C661D">
              <w:rPr>
                <w:noProof/>
                <w:webHidden/>
              </w:rPr>
              <w:instrText xml:space="preserve"> PAGEREF _Toc143521122 \h </w:instrText>
            </w:r>
            <w:r w:rsidR="009C661D">
              <w:rPr>
                <w:noProof/>
                <w:webHidden/>
              </w:rPr>
            </w:r>
            <w:r w:rsidR="009C661D">
              <w:rPr>
                <w:noProof/>
                <w:webHidden/>
              </w:rPr>
              <w:fldChar w:fldCharType="separate"/>
            </w:r>
            <w:r w:rsidR="009C661D">
              <w:rPr>
                <w:noProof/>
                <w:webHidden/>
              </w:rPr>
              <w:t>11</w:t>
            </w:r>
            <w:r w:rsidR="009C661D">
              <w:rPr>
                <w:noProof/>
                <w:webHidden/>
              </w:rPr>
              <w:fldChar w:fldCharType="end"/>
            </w:r>
          </w:hyperlink>
        </w:p>
        <w:p w14:paraId="721AF383" w14:textId="0E827BD8"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3" w:history="1">
            <w:r w:rsidR="009C661D" w:rsidRPr="00F02F4B">
              <w:rPr>
                <w:rStyle w:val="Hyperlink"/>
                <w:noProof/>
              </w:rPr>
              <w:t>12.8</w:t>
            </w:r>
            <w:r w:rsidR="009C661D">
              <w:rPr>
                <w:rFonts w:eastAsiaTheme="minorEastAsia"/>
                <w:noProof/>
                <w:kern w:val="2"/>
                <w:lang w:val="ru-RU" w:eastAsia="ru-RU"/>
                <w14:ligatures w14:val="standardContextual"/>
              </w:rPr>
              <w:tab/>
            </w:r>
            <w:r w:rsidR="009C661D" w:rsidRPr="00F02F4B">
              <w:rPr>
                <w:rStyle w:val="Hyperlink"/>
                <w:noProof/>
              </w:rPr>
              <w:t xml:space="preserve">Computerized Systems Lifecycle Management</w:t>
            </w:r>
            <w:r w:rsidR="009C661D">
              <w:rPr>
                <w:noProof/>
                <w:webHidden/>
              </w:rPr>
              <w:tab/>
            </w:r>
            <w:r w:rsidR="009C661D">
              <w:rPr>
                <w:noProof/>
                <w:webHidden/>
              </w:rPr>
              <w:fldChar w:fldCharType="begin"/>
            </w:r>
            <w:r w:rsidR="009C661D">
              <w:rPr>
                <w:noProof/>
                <w:webHidden/>
              </w:rPr>
              <w:instrText xml:space="preserve"> PAGEREF _Toc143521123 \h </w:instrText>
            </w:r>
            <w:r w:rsidR="009C661D">
              <w:rPr>
                <w:noProof/>
                <w:webHidden/>
              </w:rPr>
            </w:r>
            <w:r w:rsidR="009C661D">
              <w:rPr>
                <w:noProof/>
                <w:webHidden/>
              </w:rPr>
              <w:fldChar w:fldCharType="separate"/>
            </w:r>
            <w:r w:rsidR="009C661D">
              <w:rPr>
                <w:noProof/>
                <w:webHidden/>
              </w:rPr>
              <w:t>11</w:t>
            </w:r>
            <w:r w:rsidR="009C661D">
              <w:rPr>
                <w:noProof/>
                <w:webHidden/>
              </w:rPr>
              <w:fldChar w:fldCharType="end"/>
            </w:r>
          </w:hyperlink>
        </w:p>
        <w:p w14:paraId="0EFCCE32" w14:textId="279489E4" w:rsidR="009C661D" w:rsidRDefault="007F48EF" w:rsidP="009C661D">
          <w:pPr>
            <w:pStyle w:val="TOC1"/>
            <w:rPr>
              <w:rFonts w:eastAsiaTheme="minorEastAsia"/>
              <w:noProof/>
              <w:kern w:val="2"/>
              <w:lang w:val="ru-RU" w:eastAsia="ru-RU"/>
              <w14:ligatures w14:val="standardContextual"/>
            </w:rPr>
          </w:pPr>
          <w:hyperlink w:anchor="_Toc143521124" w:history="1">
            <w:r w:rsidR="009C661D" w:rsidRPr="00F02F4B">
              <w:rPr>
                <w:rStyle w:val="Hyperlink"/>
                <w:noProof/>
              </w:rPr>
              <w:t>13</w:t>
            </w:r>
            <w:r w:rsidR="009C661D">
              <w:rPr>
                <w:rFonts w:eastAsiaTheme="minorEastAsia"/>
                <w:noProof/>
                <w:kern w:val="2"/>
                <w:lang w:val="ru-RU" w:eastAsia="ru-RU"/>
                <w14:ligatures w14:val="standardContextual"/>
              </w:rPr>
              <w:tab/>
            </w:r>
            <w:r w:rsidR="009C661D" w:rsidRPr="00F02F4B">
              <w:rPr>
                <w:rStyle w:val="Hyperlink"/>
                <w:noProof/>
              </w:rPr>
              <w:t>Terms and Abbreviations and Definitions</w:t>
            </w:r>
            <w:r w:rsidR="009C661D">
              <w:rPr>
                <w:noProof/>
                <w:webHidden/>
              </w:rPr>
              <w:tab/>
            </w:r>
            <w:r w:rsidR="009C661D">
              <w:rPr>
                <w:noProof/>
                <w:webHidden/>
              </w:rPr>
              <w:fldChar w:fldCharType="begin"/>
            </w:r>
            <w:r w:rsidR="009C661D">
              <w:rPr>
                <w:noProof/>
                <w:webHidden/>
              </w:rPr>
              <w:instrText xml:space="preserve"> PAGEREF _Toc143521124 \h </w:instrText>
            </w:r>
            <w:r w:rsidR="009C661D">
              <w:rPr>
                <w:noProof/>
                <w:webHidden/>
              </w:rPr>
            </w:r>
            <w:r w:rsidR="009C661D">
              <w:rPr>
                <w:noProof/>
                <w:webHidden/>
              </w:rPr>
              <w:fldChar w:fldCharType="separate"/>
            </w:r>
            <w:r w:rsidR="009C661D">
              <w:rPr>
                <w:noProof/>
                <w:webHidden/>
              </w:rPr>
              <w:t>12</w:t>
            </w:r>
            <w:r w:rsidR="009C661D">
              <w:rPr>
                <w:noProof/>
                <w:webHidden/>
              </w:rPr>
              <w:fldChar w:fldCharType="end"/>
            </w:r>
          </w:hyperlink>
        </w:p>
        <w:p w14:paraId="137F1355" w14:textId="68BFE07D" w:rsidR="009C661D" w:rsidRDefault="007F48EF" w:rsidP="009C661D">
          <w:pPr>
            <w:pStyle w:val="TOC1"/>
            <w:rPr>
              <w:rFonts w:eastAsiaTheme="minorEastAsia"/>
              <w:noProof/>
              <w:kern w:val="2"/>
              <w:lang w:val="ru-RU" w:eastAsia="ru-RU"/>
              <w14:ligatures w14:val="standardContextual"/>
            </w:rPr>
          </w:pPr>
          <w:hyperlink w:anchor="_Toc143521125" w:history="1">
            <w:r w:rsidR="009C661D" w:rsidRPr="00F02F4B">
              <w:rPr>
                <w:rStyle w:val="Hyperlink"/>
                <w:noProof/>
              </w:rPr>
              <w:t>14</w:t>
            </w:r>
            <w:r w:rsidR="009C661D">
              <w:rPr>
                <w:rFonts w:eastAsiaTheme="minorEastAsia"/>
                <w:noProof/>
                <w:kern w:val="2"/>
                <w:lang w:val="ru-RU" w:eastAsia="ru-RU"/>
                <w14:ligatures w14:val="standardContextual"/>
              </w:rPr>
              <w:tab/>
            </w:r>
            <w:r w:rsidR="009C661D" w:rsidRPr="00F02F4B">
              <w:rPr>
                <w:rStyle w:val="Hyperlink"/>
                <w:noProof/>
              </w:rPr>
              <w:t>Applicable documents</w:t>
            </w:r>
            <w:r w:rsidR="009C661D">
              <w:rPr>
                <w:noProof/>
                <w:webHidden/>
              </w:rPr>
              <w:tab/>
            </w:r>
            <w:r w:rsidR="009C661D">
              <w:rPr>
                <w:noProof/>
                <w:webHidden/>
              </w:rPr>
              <w:fldChar w:fldCharType="begin"/>
            </w:r>
            <w:r w:rsidR="009C661D">
              <w:rPr>
                <w:noProof/>
                <w:webHidden/>
              </w:rPr>
              <w:instrText xml:space="preserve"> PAGEREF _Toc143521125 \h </w:instrText>
            </w:r>
            <w:r w:rsidR="009C661D">
              <w:rPr>
                <w:noProof/>
                <w:webHidden/>
              </w:rPr>
            </w:r>
            <w:r w:rsidR="009C661D">
              <w:rPr>
                <w:noProof/>
                <w:webHidden/>
              </w:rPr>
              <w:fldChar w:fldCharType="separate"/>
            </w:r>
            <w:r w:rsidR="009C661D">
              <w:rPr>
                <w:noProof/>
                <w:webHidden/>
              </w:rPr>
              <w:t>14</w:t>
            </w:r>
            <w:r w:rsidR="009C661D">
              <w:rPr>
                <w:noProof/>
                <w:webHidden/>
              </w:rPr>
              <w:fldChar w:fldCharType="end"/>
            </w:r>
          </w:hyperlink>
        </w:p>
        <w:p w14:paraId="0D155C14" w14:textId="32B644BC" w:rsidR="009C661D" w:rsidRDefault="007F48EF" w:rsidP="009C661D">
          <w:pPr>
            <w:pStyle w:val="TOC1"/>
            <w:rPr>
              <w:rFonts w:eastAsiaTheme="minorEastAsia"/>
              <w:noProof/>
              <w:kern w:val="2"/>
              <w:lang w:val="ru-RU" w:eastAsia="ru-RU"/>
              <w14:ligatures w14:val="standardContextual"/>
            </w:rPr>
          </w:pPr>
          <w:hyperlink w:anchor="_Toc143521126" w:history="1">
            <w:r w:rsidR="009C661D" w:rsidRPr="00F02F4B">
              <w:rPr>
                <w:rStyle w:val="Hyperlink"/>
                <w:noProof/>
              </w:rPr>
              <w:t>15</w:t>
            </w:r>
            <w:r w:rsidR="009C661D">
              <w:rPr>
                <w:rFonts w:eastAsiaTheme="minorEastAsia"/>
                <w:noProof/>
                <w:kern w:val="2"/>
                <w:lang w:val="ru-RU" w:eastAsia="ru-RU"/>
                <w14:ligatures w14:val="standardContextual"/>
              </w:rPr>
              <w:tab/>
            </w:r>
            <w:r w:rsidR="009C661D" w:rsidRPr="00F02F4B">
              <w:rPr>
                <w:rStyle w:val="Hyperlink"/>
                <w:noProof/>
              </w:rPr>
              <w:t>Appendices</w:t>
            </w:r>
            <w:r w:rsidR="009C661D">
              <w:rPr>
                <w:noProof/>
                <w:webHidden/>
              </w:rPr>
              <w:tab/>
            </w:r>
            <w:r w:rsidR="009C661D">
              <w:rPr>
                <w:noProof/>
                <w:webHidden/>
              </w:rPr>
              <w:fldChar w:fldCharType="begin"/>
            </w:r>
            <w:r w:rsidR="009C661D">
              <w:rPr>
                <w:noProof/>
                <w:webHidden/>
              </w:rPr>
              <w:instrText xml:space="preserve"> PAGEREF _Toc143521126 \h </w:instrText>
            </w:r>
            <w:r w:rsidR="009C661D">
              <w:rPr>
                <w:noProof/>
                <w:webHidden/>
              </w:rPr>
            </w:r>
            <w:r w:rsidR="009C661D">
              <w:rPr>
                <w:noProof/>
                <w:webHidden/>
              </w:rPr>
              <w:fldChar w:fldCharType="separate"/>
            </w:r>
            <w:r w:rsidR="009C661D">
              <w:rPr>
                <w:noProof/>
                <w:webHidden/>
              </w:rPr>
              <w:t>15</w:t>
            </w:r>
            <w:r w:rsidR="009C661D">
              <w:rPr>
                <w:noProof/>
                <w:webHidden/>
              </w:rPr>
              <w:fldChar w:fldCharType="end"/>
            </w:r>
          </w:hyperlink>
        </w:p>
        <w:p w14:paraId="077A2796" w14:textId="2A66A255" w:rsidR="009C661D" w:rsidRDefault="007F48EF" w:rsidP="009C661D">
          <w:pPr>
            <w:pStyle w:val="TOC1"/>
            <w:rPr>
              <w:rFonts w:eastAsiaTheme="minorEastAsia"/>
              <w:noProof/>
              <w:kern w:val="2"/>
              <w:lang w:val="ru-RU" w:eastAsia="ru-RU"/>
              <w14:ligatures w14:val="standardContextual"/>
            </w:rPr>
          </w:pPr>
          <w:hyperlink w:anchor="_Toc143521127" w:history="1">
            <w:r w:rsidR="009C661D" w:rsidRPr="00F02F4B">
              <w:rPr>
                <w:rStyle w:val="Hyperlink"/>
                <w:noProof/>
              </w:rPr>
              <w:t>16</w:t>
            </w:r>
            <w:r w:rsidR="009C661D">
              <w:rPr>
                <w:rFonts w:eastAsiaTheme="minorEastAsia"/>
                <w:noProof/>
                <w:kern w:val="2"/>
                <w:lang w:val="ru-RU" w:eastAsia="ru-RU"/>
                <w14:ligatures w14:val="standardContextual"/>
              </w:rPr>
              <w:tab/>
            </w:r>
            <w:r w:rsidR="009C661D" w:rsidRPr="00F02F4B">
              <w:rPr>
                <w:rStyle w:val="Hyperlink"/>
                <w:noProof/>
              </w:rPr>
              <w:t>Document revision history</w:t>
            </w:r>
            <w:r w:rsidR="009C661D">
              <w:rPr>
                <w:noProof/>
                <w:webHidden/>
              </w:rPr>
              <w:tab/>
            </w:r>
            <w:r w:rsidR="009C661D">
              <w:rPr>
                <w:noProof/>
                <w:webHidden/>
              </w:rPr>
              <w:fldChar w:fldCharType="begin"/>
            </w:r>
            <w:r w:rsidR="009C661D">
              <w:rPr>
                <w:noProof/>
                <w:webHidden/>
              </w:rPr>
              <w:instrText xml:space="preserve"> PAGEREF _Toc143521127 \h </w:instrText>
            </w:r>
            <w:r w:rsidR="009C661D">
              <w:rPr>
                <w:noProof/>
                <w:webHidden/>
              </w:rPr>
            </w:r>
            <w:r w:rsidR="009C661D">
              <w:rPr>
                <w:noProof/>
                <w:webHidden/>
              </w:rPr>
              <w:fldChar w:fldCharType="separate"/>
            </w:r>
            <w:r w:rsidR="009C661D">
              <w:rPr>
                <w:noProof/>
                <w:webHidden/>
              </w:rPr>
              <w:t>15</w:t>
            </w:r>
            <w:r w:rsidR="009C661D">
              <w:rPr>
                <w:noProof/>
                <w:webHidden/>
              </w:rPr>
              <w:fldChar w:fldCharType="end"/>
            </w:r>
          </w:hyperlink>
        </w:p>
        <w:p w14:paraId="33AB774C" w14:textId="744D616F"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5983632D" w14:textId="77777777" w:rsidR="007F48EF" w:rsidRDefault="007F48EF">
      <w:pPr>
        <w:spacing w:after="160" w:line="259" w:lineRule="auto"/>
        <w:jc w:val="left"/>
        <w:rPr>
          <w:rFonts w:eastAsiaTheme="majorEastAsia" w:cstheme="majorBidi"/>
          <w:b/>
          <w:sz w:val="24"/>
          <w:szCs w:val="32"/>
          <w:lang w:val="en-US"/>
        </w:rPr>
      </w:pPr>
      <w:bookmarkStart w:id="6" w:name="_Toc143521098"/>
      <w:bookmarkStart w:id="7" w:name="_Hlk102045015"/>
      <w:r>
        <w:br w:type="page"/>
      </w:r>
    </w:p>
    <w:p w14:paraId="7475F87C" w14:textId="77497E68" w:rsidR="00C16B2E" w:rsidRPr="0004196A" w:rsidRDefault="00C16B2E" w:rsidP="007B6257">
      <w:pPr>
        <w:pStyle w:val="Heading1"/>
      </w:pPr>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43521099"/>
      <w:bookmarkStart w:id="11" w:name="_Hlk66168105"/>
      <w:bookmarkEnd w:id="8"/>
      <w:r w:rsidRPr="0004196A">
        <w:t>Company</w:t>
      </w:r>
      <w:r w:rsidRPr="0004196A">
        <w:rPr>
          <w:spacing w:val="-1"/>
        </w:rPr>
        <w:t xml:space="preserve"> </w:t>
      </w:r>
      <w:r w:rsidRPr="0004196A">
        <w:t xml:space="preserve">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Organisation Name</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Organisation Name</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A832E7">
        <w:rPr>
          <w:rStyle w:val="eop"/>
          <w:b/>
          <w:bCs/>
        </w:rPr>
        <w:t xml:space="preserve">MD-01</w:t>
      </w:r>
      <w:r w:rsidR="00D43BAF" w:rsidRPr="00A832E7">
        <w:rPr>
          <w:rStyle w:val="eop"/>
          <w:b/>
          <w:bCs/>
        </w:rPr>
        <w:t xml:space="preserve"> </w:t>
      </w:r>
      <w:r w:rsidRPr="00A832E7">
        <w:rPr>
          <w:rStyle w:val="eop"/>
          <w:b/>
          <w:bCs/>
        </w:rPr>
        <w:t xml:space="preserve">Quality Commitment</w:t>
      </w:r>
      <w:r w:rsidR="00161A3D" w:rsidRPr="00A832E7">
        <w:rPr>
          <w:rStyle w:val="eop"/>
          <w:b/>
          <w:bCs/>
        </w:rPr>
        <w:t xml:space="preserve"> </w:t>
      </w:r>
      <w:r w:rsidR="008243F8" w:rsidRPr="00A832E7">
        <w:rPr>
          <w:rStyle w:val="eop"/>
          <w:b/>
          <w:bCs/>
        </w:rPr>
        <w:t xml:space="preserve">Appendix</w:t>
      </w:r>
      <w:r w:rsidR="008243F8" w:rsidRPr="004C081F">
        <w:rPr>
          <w:rStyle w:val="eop"/>
        </w:rPr>
        <w:t xml:space="preserve"> </w:t>
      </w:r>
      <w:r w:rsidR="00297BF7" w:rsidRPr="004C081F">
        <w:rPr>
          <w:rStyle w:val="eop"/>
        </w:rPr>
        <w:t xml:space="preserve">to this </w:t>
      </w:r>
      <w:r w:rsidRPr="00A832E7">
        <w:rPr>
          <w:b/>
          <w:bCs/>
        </w:rPr>
        <w:t xml:space="preserve">Quality Manual</w:t>
      </w:r>
      <w:r w:rsidR="00297BF7" w:rsidRPr="00A832E7">
        <w:rPr>
          <w:rStyle w:val="eop"/>
          <w:b/>
          <w:bCs/>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Organisation Name</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2D5CD7">
        <w:rPr>
          <w:rStyle w:val="eop"/>
          <w:b/>
          <w:bCs/>
        </w:rPr>
        <w:t xml:space="preserve">MD-01</w:t>
      </w:r>
      <w:r w:rsidR="003541C1" w:rsidRPr="002D5CD7">
        <w:rPr>
          <w:rStyle w:val="eop"/>
          <w:b/>
          <w:bCs/>
        </w:rPr>
        <w:t xml:space="preserve"> </w:t>
      </w:r>
      <w:r w:rsidR="005E35C8" w:rsidRPr="002D5CD7">
        <w:rPr>
          <w:rStyle w:val="eop"/>
          <w:b/>
          <w:bCs/>
        </w:rPr>
        <w:t xml:space="preserve">Organigram</w:t>
      </w:r>
      <w:r w:rsidR="003541C1" w:rsidRPr="002D5CD7">
        <w:rPr>
          <w:rStyle w:val="eop"/>
          <w:b/>
          <w:bCs/>
        </w:rPr>
        <w:t xml:space="preserve"> Appendix</w:t>
      </w:r>
      <w:r w:rsidR="003541C1" w:rsidRPr="00E8048F">
        <w:rPr>
          <w:rStyle w:val="eop"/>
        </w:rPr>
        <w:t xml:space="preserve"> to this </w:t>
      </w:r>
      <w:r w:rsidR="005E35C8" w:rsidRPr="00A00869">
        <w:rPr>
          <w:b/>
          <w:bCs/>
        </w:rPr>
        <w:t xml:space="preserve">Quality Manual</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43521100"/>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Organisation Name</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Organisation Name</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Organisation Name</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e.g., Quality Management Director</w:t>
      </w:r>
      <w:r w:rsidR="001360AF">
        <w:t xml:space="preserve">. </w:t>
      </w:r>
      <w:proofErr w:type="gramStart"/>
      <w:r w:rsidR="00CB68B2" w:rsidRPr="001E3E39">
        <w:t xml:space="preserve">e.g., Quality Management Director</w:t>
      </w:r>
      <w:r w:rsidR="00CB68B2">
        <w:t xml:space="preserve"> act as Responsible Person in </w:t>
      </w:r>
      <w:r w:rsidR="0030014B" w:rsidRPr="001E3E39">
        <w:t xml:space="preserve">Organisation Name</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Organisation Name</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435211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e.g., CEO is the chief executive officer of Organisation Name,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Organisation Name</w:t>
      </w:r>
      <w:r w:rsidRPr="0004196A">
        <w:rPr>
          <w:lang w:val="en-US"/>
        </w:rPr>
        <w:t>.</w:t>
      </w:r>
    </w:p>
    <w:p w14:paraId="08D6BB36" w14:textId="18302E20" w:rsidR="00F02A7F" w:rsidRPr="0004196A" w:rsidRDefault="00272FF8" w:rsidP="00FD7930">
      <w:pPr>
        <w:pStyle w:val="Heading2"/>
      </w:pPr>
      <w:bookmarkStart w:id="48" w:name="_Toc143521102"/>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 xml:space="preserve">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43521103"/>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43521104"/>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43521105"/>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Organisation Name</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43521106"/>
      <w:r w:rsidRPr="0004196A">
        <w:t xml:space="preserve">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43521107"/>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43521108"/>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Organisation Name</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Organisation Name</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Organisation Name</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Organisation Name</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43521109"/>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Organisation Name</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43521110"/>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Organisation Name</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Organisation Name</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43521111"/>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43521112"/>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Organisation Name</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43521113"/>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43521114"/>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Organisation Name</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Organisation Name</w:t>
      </w:r>
      <w:r w:rsidR="003E09D4" w:rsidRPr="0004196A">
        <w:t xml:space="preserve"> operations using specific technologies that require compliance with certain regulatory requirements will apply the </w:t>
      </w:r>
      <w:r w:rsidRPr="001E3E39">
        <w:t xml:space="preserve">Organisation Name</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Organisation Name</w:t>
      </w:r>
      <w:r w:rsidR="003E09D4" w:rsidRPr="0004196A">
        <w:t>.</w:t>
      </w:r>
    </w:p>
    <w:p w14:paraId="36A1B6F9" w14:textId="77777777" w:rsidR="00335D74" w:rsidRPr="0004196A" w:rsidRDefault="00335D74" w:rsidP="007B6257">
      <w:pPr>
        <w:pStyle w:val="Heading1"/>
      </w:pPr>
      <w:bookmarkStart w:id="73" w:name="_Toc143521115"/>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43521116"/>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43521117"/>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Organisation Name</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43521118"/>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43521119"/>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43521120"/>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Organisation Name</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43521121"/>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43521122"/>
      <w:bookmarkEnd w:id="86"/>
      <w:bookmarkEnd w:id="87"/>
      <w:bookmarkEnd w:id="88"/>
      <w:proofErr w:type="gramStart"/>
      <w:r w:rsidRPr="001E3E39">
        <w:t xml:space="preserve">Suppliers, Customers Management</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 xml:space="preserve">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xml:space="preserve">Organisation Name </w:t>
      </w:r>
      <w:r w:rsidRPr="00DA7921">
        <w:rPr>
          <w:spacing w:val="-8"/>
          <w:lang w:val="en-US"/>
        </w:rPr>
        <w:t xml:space="preserve">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xml:space="preserve">Organisation Name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 xml:space="preserve">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xml:space="preserve">Organisation Name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 xml:space="preserve">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Organisation Name</w:t>
      </w:r>
      <w:r>
        <w:t xml:space="preserve"> and 3PL contracted wholesalers.</w:t>
      </w:r>
    </w:p>
    <w:p w14:paraId="70328AB3" w14:textId="67A5926A" w:rsidR="00335D74" w:rsidRPr="001E3E39" w:rsidRDefault="005E35C8" w:rsidP="00FD7930">
      <w:pPr>
        <w:pStyle w:val="Heading2"/>
      </w:pPr>
      <w:bookmarkStart w:id="90" w:name="_bookmark32"/>
      <w:bookmarkStart w:id="91" w:name="_Toc143521123"/>
      <w:bookmarkEnd w:id="90"/>
      <w:commentRangeStart w:id="92"/>
      <w:proofErr w:type="gramStart"/>
      <w:r w:rsidRPr="001E3E39">
        <w:t xml:space="preserve">Computerized Systems Lifecycle Management</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43521124"/>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7F48E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7F48E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7F48E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7F48E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7F48E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7F48E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7F48E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7F48E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7F48EF"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7F48EF"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7F48E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7F48E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7F48E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Organisation Name</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7F48E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7F48E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7F48EF"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7F48EF"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7F48E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7F48EF"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7F48E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7F48E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7F48E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7F48EF"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7F48EF"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7F48EF"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7F48E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7F48E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43521125"/>
      <w:r w:rsidRPr="0004196A">
        <w:t xml:space="preserve">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43521126"/>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8" w:name="_bookmark36"/>
      <w:bookmarkStart w:id="99" w:name="_Toc143521127"/>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1DF6" w14:textId="77777777" w:rsidR="00DC3D63" w:rsidRDefault="00DC3D63" w:rsidP="002C0BFD">
      <w:pPr>
        <w:spacing w:after="0"/>
      </w:pPr>
      <w:r>
        <w:separator/>
      </w:r>
    </w:p>
  </w:endnote>
  <w:endnote w:type="continuationSeparator" w:id="0">
    <w:p w14:paraId="77954540" w14:textId="77777777" w:rsidR="00DC3D63" w:rsidRDefault="00DC3D63" w:rsidP="002C0BFD">
      <w:pPr>
        <w:spacing w:after="0"/>
      </w:pPr>
      <w:r>
        <w:continuationSeparator/>
      </w:r>
    </w:p>
  </w:endnote>
  <w:endnote w:type="continuationNotice" w:id="1">
    <w:p w14:paraId="5F6E410F" w14:textId="77777777" w:rsidR="00DC3D63" w:rsidRDefault="00DC3D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7380" w14:textId="77777777" w:rsidR="00DC3D63" w:rsidRDefault="00DC3D63" w:rsidP="002C0BFD">
      <w:pPr>
        <w:spacing w:after="0"/>
      </w:pPr>
      <w:r>
        <w:separator/>
      </w:r>
    </w:p>
  </w:footnote>
  <w:footnote w:type="continuationSeparator" w:id="0">
    <w:p w14:paraId="698058E1" w14:textId="77777777" w:rsidR="00DC3D63" w:rsidRDefault="00DC3D63" w:rsidP="002C0BFD">
      <w:pPr>
        <w:spacing w:after="0"/>
      </w:pPr>
      <w:r>
        <w:continuationSeparator/>
      </w:r>
    </w:p>
  </w:footnote>
  <w:footnote w:type="continuationNotice" w:id="1">
    <w:p w14:paraId="27E58FAD" w14:textId="77777777" w:rsidR="00DC3D63" w:rsidRDefault="00DC3D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5CD7"/>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48EF"/>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61D"/>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3D63"/>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f14059bf-c0e1-41fa-941f-d27bdc89eeda"/>
    <ds:schemaRef ds:uri="http://purl.org/dc/elements/1.1/"/>
    <ds:schemaRef ds:uri="http://schemas.microsoft.com/office/2006/documentManagement/types"/>
    <ds:schemaRef ds:uri="http://schemas.openxmlformats.org/package/2006/metadata/core-properties"/>
    <ds:schemaRef ds:uri="http://www.w3.org/XML/1998/namespace"/>
    <ds:schemaRef ds:uri="32bc7a50-3ff2-450c-9d69-e0a167615836"/>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D775B55-AFE2-47D2-8282-E1199ED2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639</cp:revision>
  <cp:lastPrinted>2021-02-25T11:29:00Z</cp:lastPrinted>
  <dcterms:created xsi:type="dcterms:W3CDTF">2022-06-13T07:18:00Z</dcterms:created>
  <dcterms:modified xsi:type="dcterms:W3CDTF">2023-08-21T12:50:00Z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