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17.11.2022</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r>
              <w:rPr>
                <w:noProof/>
                <w:webHidden/>
              </w:rPr>
            </w:r>
            <w:r>
              <w:rPr>
                <w:noProof/>
                <w:webHidden/>
              </w:rPr>
              <w:fldChar w:fldCharType="separate"/>
            </w:r>
            <w:r>
              <w:rPr>
                <w:noProof/>
                <w:webHidden/>
              </w:rPr>
              <w:t>3</w:t>
            </w:r>
            <w:r>
              <w:rPr>
                <w:noProof/>
                <w:webHidden/>
              </w:rPr>
              <w:fldChar w:fldCharType="end"/>
            </w:r>
          </w:hyperlink>
        </w:p>
        <w:p w14:paraId="05F24500" w14:textId="0A471C7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r>
              <w:rPr>
                <w:noProof/>
                <w:webHidden/>
              </w:rPr>
            </w:r>
            <w:r>
              <w:rPr>
                <w:noProof/>
                <w:webHidden/>
              </w:rPr>
              <w:fldChar w:fldCharType="separate"/>
            </w:r>
            <w:r>
              <w:rPr>
                <w:noProof/>
                <w:webHidden/>
              </w:rPr>
              <w:t>3</w:t>
            </w:r>
            <w:r>
              <w:rPr>
                <w:noProof/>
                <w:webHidden/>
              </w:rPr>
              <w:fldChar w:fldCharType="end"/>
            </w:r>
          </w:hyperlink>
        </w:p>
        <w:p w14:paraId="3A4DCD2B" w14:textId="4CAA6F4F"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r>
              <w:rPr>
                <w:noProof/>
                <w:webHidden/>
              </w:rPr>
            </w:r>
            <w:r>
              <w:rPr>
                <w:noProof/>
                <w:webHidden/>
              </w:rPr>
              <w:fldChar w:fldCharType="separate"/>
            </w:r>
            <w:r>
              <w:rPr>
                <w:noProof/>
                <w:webHidden/>
              </w:rPr>
              <w:t>3</w:t>
            </w:r>
            <w:r>
              <w:rPr>
                <w:noProof/>
                <w:webHidden/>
              </w:rPr>
              <w:fldChar w:fldCharType="end"/>
            </w:r>
          </w:hyperlink>
        </w:p>
        <w:p w14:paraId="55C4BEFD" w14:textId="2927C917"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r>
              <w:rPr>
                <w:noProof/>
                <w:webHidden/>
              </w:rPr>
            </w:r>
            <w:r>
              <w:rPr>
                <w:noProof/>
                <w:webHidden/>
              </w:rPr>
              <w:fldChar w:fldCharType="separate"/>
            </w:r>
            <w:r>
              <w:rPr>
                <w:noProof/>
                <w:webHidden/>
              </w:rPr>
              <w:t>3</w:t>
            </w:r>
            <w:r>
              <w:rPr>
                <w:noProof/>
                <w:webHidden/>
              </w:rPr>
              <w:fldChar w:fldCharType="end"/>
            </w:r>
          </w:hyperlink>
        </w:p>
        <w:p w14:paraId="77DFDDFA" w14:textId="1EF09E47"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r>
              <w:rPr>
                <w:noProof/>
                <w:webHidden/>
              </w:rPr>
            </w:r>
            <w:r>
              <w:rPr>
                <w:noProof/>
                <w:webHidden/>
              </w:rPr>
              <w:fldChar w:fldCharType="separate"/>
            </w:r>
            <w:r>
              <w:rPr>
                <w:noProof/>
                <w:webHidden/>
              </w:rPr>
              <w:t>3</w:t>
            </w:r>
            <w:r>
              <w:rPr>
                <w:noProof/>
                <w:webHidden/>
              </w:rPr>
              <w:fldChar w:fldCharType="end"/>
            </w:r>
          </w:hyperlink>
        </w:p>
        <w:p w14:paraId="6253B981" w14:textId="684CCC9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r>
              <w:rPr>
                <w:noProof/>
                <w:webHidden/>
              </w:rPr>
            </w:r>
            <w:r>
              <w:rPr>
                <w:noProof/>
                <w:webHidden/>
              </w:rPr>
              <w:fldChar w:fldCharType="separate"/>
            </w:r>
            <w:r>
              <w:rPr>
                <w:noProof/>
                <w:webHidden/>
              </w:rPr>
              <w:t>3</w:t>
            </w:r>
            <w:r>
              <w:rPr>
                <w:noProof/>
                <w:webHidden/>
              </w:rPr>
              <w:fldChar w:fldCharType="end"/>
            </w:r>
          </w:hyperlink>
        </w:p>
        <w:p w14:paraId="4100631A" w14:textId="6847AB98" w:rsidR="00AA08AD" w:rsidRDefault="00AA08AD">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r>
              <w:rPr>
                <w:noProof/>
                <w:webHidden/>
              </w:rPr>
            </w:r>
            <w:r>
              <w:rPr>
                <w:noProof/>
                <w:webHidden/>
              </w:rPr>
              <w:fldChar w:fldCharType="separate"/>
            </w:r>
            <w:r>
              <w:rPr>
                <w:noProof/>
                <w:webHidden/>
              </w:rPr>
              <w:t>4</w:t>
            </w:r>
            <w:r>
              <w:rPr>
                <w:noProof/>
                <w:webHidden/>
              </w:rPr>
              <w:fldChar w:fldCharType="end"/>
            </w:r>
          </w:hyperlink>
        </w:p>
        <w:p w14:paraId="46E6C319" w14:textId="0B590506"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r>
              <w:rPr>
                <w:noProof/>
                <w:webHidden/>
              </w:rPr>
            </w:r>
            <w:r>
              <w:rPr>
                <w:noProof/>
                <w:webHidden/>
              </w:rPr>
              <w:fldChar w:fldCharType="separate"/>
            </w:r>
            <w:r>
              <w:rPr>
                <w:noProof/>
                <w:webHidden/>
              </w:rPr>
              <w:t>4</w:t>
            </w:r>
            <w:r>
              <w:rPr>
                <w:noProof/>
                <w:webHidden/>
              </w:rPr>
              <w:fldChar w:fldCharType="end"/>
            </w:r>
          </w:hyperlink>
        </w:p>
        <w:p w14:paraId="1DD76A14" w14:textId="7DE51DF4"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r>
              <w:rPr>
                <w:noProof/>
                <w:webHidden/>
              </w:rPr>
            </w:r>
            <w:r>
              <w:rPr>
                <w:noProof/>
                <w:webHidden/>
              </w:rPr>
              <w:fldChar w:fldCharType="separate"/>
            </w:r>
            <w:r>
              <w:rPr>
                <w:noProof/>
                <w:webHidden/>
              </w:rPr>
              <w:t>4</w:t>
            </w:r>
            <w:r>
              <w:rPr>
                <w:noProof/>
                <w:webHidden/>
              </w:rPr>
              <w:fldChar w:fldCharType="end"/>
            </w:r>
          </w:hyperlink>
        </w:p>
        <w:p w14:paraId="6C0D4C7E" w14:textId="4DBEA3B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r>
              <w:rPr>
                <w:noProof/>
                <w:webHidden/>
              </w:rPr>
            </w:r>
            <w:r>
              <w:rPr>
                <w:noProof/>
                <w:webHidden/>
              </w:rPr>
              <w:fldChar w:fldCharType="separate"/>
            </w:r>
            <w:r>
              <w:rPr>
                <w:noProof/>
                <w:webHidden/>
              </w:rPr>
              <w:t>4</w:t>
            </w:r>
            <w:r>
              <w:rPr>
                <w:noProof/>
                <w:webHidden/>
              </w:rPr>
              <w:fldChar w:fldCharType="end"/>
            </w:r>
          </w:hyperlink>
        </w:p>
        <w:p w14:paraId="553C65B3" w14:textId="28C2421E"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r>
              <w:rPr>
                <w:noProof/>
                <w:webHidden/>
              </w:rPr>
            </w:r>
            <w:r>
              <w:rPr>
                <w:noProof/>
                <w:webHidden/>
              </w:rPr>
              <w:fldChar w:fldCharType="separate"/>
            </w:r>
            <w:r>
              <w:rPr>
                <w:noProof/>
                <w:webHidden/>
              </w:rPr>
              <w:t>4</w:t>
            </w:r>
            <w:r>
              <w:rPr>
                <w:noProof/>
                <w:webHidden/>
              </w:rPr>
              <w:fldChar w:fldCharType="end"/>
            </w:r>
          </w:hyperlink>
        </w:p>
        <w:p w14:paraId="09165B79" w14:textId="40D3800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r>
              <w:rPr>
                <w:noProof/>
                <w:webHidden/>
              </w:rPr>
            </w:r>
            <w:r>
              <w:rPr>
                <w:noProof/>
                <w:webHidden/>
              </w:rPr>
              <w:fldChar w:fldCharType="separate"/>
            </w:r>
            <w:r>
              <w:rPr>
                <w:noProof/>
                <w:webHidden/>
              </w:rPr>
              <w:t>4</w:t>
            </w:r>
            <w:r>
              <w:rPr>
                <w:noProof/>
                <w:webHidden/>
              </w:rPr>
              <w:fldChar w:fldCharType="end"/>
            </w:r>
          </w:hyperlink>
        </w:p>
        <w:p w14:paraId="39BFE376" w14:textId="0E7B773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r>
              <w:rPr>
                <w:noProof/>
                <w:webHidden/>
              </w:rPr>
            </w:r>
            <w:r>
              <w:rPr>
                <w:noProof/>
                <w:webHidden/>
              </w:rPr>
              <w:fldChar w:fldCharType="separate"/>
            </w:r>
            <w:r>
              <w:rPr>
                <w:noProof/>
                <w:webHidden/>
              </w:rPr>
              <w:t>4</w:t>
            </w:r>
            <w:r>
              <w:rPr>
                <w:noProof/>
                <w:webHidden/>
              </w:rPr>
              <w:fldChar w:fldCharType="end"/>
            </w:r>
          </w:hyperlink>
        </w:p>
        <w:p w14:paraId="1185E9AE" w14:textId="156EA7B3"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r>
              <w:rPr>
                <w:noProof/>
                <w:webHidden/>
              </w:rPr>
            </w:r>
            <w:r>
              <w:rPr>
                <w:noProof/>
                <w:webHidden/>
              </w:rPr>
              <w:fldChar w:fldCharType="separate"/>
            </w:r>
            <w:r>
              <w:rPr>
                <w:noProof/>
                <w:webHidden/>
              </w:rPr>
              <w:t>4</w:t>
            </w:r>
            <w:r>
              <w:rPr>
                <w:noProof/>
                <w:webHidden/>
              </w:rPr>
              <w:fldChar w:fldCharType="end"/>
            </w:r>
          </w:hyperlink>
        </w:p>
        <w:p w14:paraId="59627A72" w14:textId="1611E558"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r>
              <w:rPr>
                <w:noProof/>
                <w:webHidden/>
              </w:rPr>
            </w:r>
            <w:r>
              <w:rPr>
                <w:noProof/>
                <w:webHidden/>
              </w:rPr>
              <w:fldChar w:fldCharType="separate"/>
            </w:r>
            <w:r>
              <w:rPr>
                <w:noProof/>
                <w:webHidden/>
              </w:rPr>
              <w:t>4</w:t>
            </w:r>
            <w:r>
              <w:rPr>
                <w:noProof/>
                <w:webHidden/>
              </w:rPr>
              <w:fldChar w:fldCharType="end"/>
            </w:r>
          </w:hyperlink>
        </w:p>
        <w:p w14:paraId="32005722" w14:textId="7C5DB0A7"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r>
              <w:rPr>
                <w:noProof/>
                <w:webHidden/>
              </w:rPr>
            </w:r>
            <w:r>
              <w:rPr>
                <w:noProof/>
                <w:webHidden/>
              </w:rPr>
              <w:fldChar w:fldCharType="separate"/>
            </w:r>
            <w:r>
              <w:rPr>
                <w:noProof/>
                <w:webHidden/>
              </w:rPr>
              <w:t>4</w:t>
            </w:r>
            <w:r>
              <w:rPr>
                <w:noProof/>
                <w:webHidden/>
              </w:rPr>
              <w:fldChar w:fldCharType="end"/>
            </w:r>
          </w:hyperlink>
        </w:p>
        <w:p w14:paraId="521B8685" w14:textId="2EE755F3"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r>
              <w:rPr>
                <w:noProof/>
                <w:webHidden/>
              </w:rPr>
            </w:r>
            <w:r>
              <w:rPr>
                <w:noProof/>
                <w:webHidden/>
              </w:rPr>
              <w:fldChar w:fldCharType="separate"/>
            </w:r>
            <w:r>
              <w:rPr>
                <w:noProof/>
                <w:webHidden/>
              </w:rPr>
              <w:t>4</w:t>
            </w:r>
            <w:r>
              <w:rPr>
                <w:noProof/>
                <w:webHidden/>
              </w:rPr>
              <w:fldChar w:fldCharType="end"/>
            </w:r>
          </w:hyperlink>
        </w:p>
        <w:p w14:paraId="05048DFD" w14:textId="3D9B2F3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r>
              <w:rPr>
                <w:noProof/>
                <w:webHidden/>
              </w:rPr>
            </w:r>
            <w:r>
              <w:rPr>
                <w:noProof/>
                <w:webHidden/>
              </w:rPr>
              <w:fldChar w:fldCharType="separate"/>
            </w:r>
            <w:r>
              <w:rPr>
                <w:noProof/>
                <w:webHidden/>
              </w:rPr>
              <w:t>4</w:t>
            </w:r>
            <w:r>
              <w:rPr>
                <w:noProof/>
                <w:webHidden/>
              </w:rPr>
              <w:fldChar w:fldCharType="end"/>
            </w:r>
          </w:hyperlink>
        </w:p>
        <w:p w14:paraId="1AC7C514" w14:textId="1D444B6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r>
              <w:rPr>
                <w:noProof/>
                <w:webHidden/>
              </w:rPr>
            </w:r>
            <w:r>
              <w:rPr>
                <w:noProof/>
                <w:webHidden/>
              </w:rPr>
              <w:fldChar w:fldCharType="separate"/>
            </w:r>
            <w:r>
              <w:rPr>
                <w:noProof/>
                <w:webHidden/>
              </w:rPr>
              <w:t>4</w:t>
            </w:r>
            <w:r>
              <w:rPr>
                <w:noProof/>
                <w:webHidden/>
              </w:rPr>
              <w:fldChar w:fldCharType="end"/>
            </w:r>
          </w:hyperlink>
        </w:p>
        <w:p w14:paraId="7CE06382" w14:textId="0BE0C841"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r>
              <w:rPr>
                <w:noProof/>
                <w:webHidden/>
              </w:rPr>
            </w:r>
            <w:r>
              <w:rPr>
                <w:noProof/>
                <w:webHidden/>
              </w:rPr>
              <w:fldChar w:fldCharType="separate"/>
            </w:r>
            <w:r>
              <w:rPr>
                <w:noProof/>
                <w:webHidden/>
              </w:rPr>
              <w:t>4</w:t>
            </w:r>
            <w:r>
              <w:rPr>
                <w:noProof/>
                <w:webHidden/>
              </w:rPr>
              <w:fldChar w:fldCharType="end"/>
            </w:r>
          </w:hyperlink>
        </w:p>
        <w:p w14:paraId="47566ADC" w14:textId="137CCDEA"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r>
              <w:rPr>
                <w:noProof/>
                <w:webHidden/>
              </w:rPr>
            </w:r>
            <w:r>
              <w:rPr>
                <w:noProof/>
                <w:webHidden/>
              </w:rPr>
              <w:fldChar w:fldCharType="separate"/>
            </w:r>
            <w:r>
              <w:rPr>
                <w:noProof/>
                <w:webHidden/>
              </w:rPr>
              <w:t>4</w:t>
            </w:r>
            <w:r>
              <w:rPr>
                <w:noProof/>
                <w:webHidden/>
              </w:rPr>
              <w:fldChar w:fldCharType="end"/>
            </w:r>
          </w:hyperlink>
        </w:p>
        <w:p w14:paraId="594E64D8" w14:textId="2A8FA2B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r>
              <w:rPr>
                <w:noProof/>
                <w:webHidden/>
              </w:rPr>
            </w:r>
            <w:r>
              <w:rPr>
                <w:noProof/>
                <w:webHidden/>
              </w:rPr>
              <w:fldChar w:fldCharType="separate"/>
            </w:r>
            <w:r>
              <w:rPr>
                <w:noProof/>
                <w:webHidden/>
              </w:rPr>
              <w:t>4</w:t>
            </w:r>
            <w:r>
              <w:rPr>
                <w:noProof/>
                <w:webHidden/>
              </w:rPr>
              <w:fldChar w:fldCharType="end"/>
            </w:r>
          </w:hyperlink>
        </w:p>
        <w:p w14:paraId="2F7F9407" w14:textId="1540C649"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r>
              <w:rPr>
                <w:noProof/>
                <w:webHidden/>
              </w:rPr>
            </w:r>
            <w:r>
              <w:rPr>
                <w:noProof/>
                <w:webHidden/>
              </w:rPr>
              <w:fldChar w:fldCharType="separate"/>
            </w:r>
            <w:r>
              <w:rPr>
                <w:noProof/>
                <w:webHidden/>
              </w:rPr>
              <w:t>4</w:t>
            </w:r>
            <w:r>
              <w:rPr>
                <w:noProof/>
                <w:webHidden/>
              </w:rPr>
              <w:fldChar w:fldCharType="end"/>
            </w:r>
          </w:hyperlink>
        </w:p>
        <w:p w14:paraId="4C5E970D" w14:textId="6955AC63"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r>
              <w:rPr>
                <w:noProof/>
                <w:webHidden/>
              </w:rPr>
            </w:r>
            <w:r>
              <w:rPr>
                <w:noProof/>
                <w:webHidden/>
              </w:rPr>
              <w:fldChar w:fldCharType="separate"/>
            </w:r>
            <w:r>
              <w:rPr>
                <w:noProof/>
                <w:webHidden/>
              </w:rPr>
              <w:t>4</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NBE-Therapeutics</w:t>
      </w:r>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Training Management CODE</w:t>
      </w:r>
      <w:r w:rsidR="006F4604">
        <w:rPr>
          <w:b/>
          <w:bCs/>
          <w:highlight w:val="yellow"/>
        </w:rPr>
        <w:t xml:space="preserve"> </w:t>
      </w:r>
      <w:r w:rsidR="009D03DD" w:rsidRPr="00E438D5">
        <w:rPr>
          <w:b/>
          <w:bCs/>
          <w:highlight w:val="yellow"/>
        </w:rPr>
        <w:t>Training Management</w:t>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NBE-Therapeutics</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Quality Management Director</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r w:rsidR="0053158C">
              <w:rPr>
                <w:highlight w:val="yellow"/>
              </w:rPr>
            </w:r>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NBE-Therapeutics</w:t>
            </w:r>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NBE-Therapeutics</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1509B1" w:rsidRPr="00E438D5">
        <w:rPr>
          <w:b/>
          <w:bCs/>
          <w:highlight w:val="yellow"/>
        </w:rPr>
        <w:t>Quality ManualQualityManualCode&gt; Quality Manual</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A27F79" w:rsidRPr="00E438D5">
        <w:rPr>
          <w:b/>
          <w:bCs/>
          <w:highlight w:val="yellow"/>
        </w:rPr>
        <w:t xml:space="preserve">Change Management CODE </w:t>
      </w:r>
      <w:r w:rsidR="00802248" w:rsidRPr="00E438D5">
        <w:rPr>
          <w:b/>
          <w:bCs/>
          <w:highlight w:val="yellow"/>
        </w:rPr>
        <w:t>Change Management</w:t>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Training Management CODE</w:t>
      </w:r>
      <w:r w:rsidR="00F25B05">
        <w:rPr>
          <w:b/>
          <w:bCs/>
          <w:highlight w:val="yellow"/>
        </w:rPr>
        <w:t xml:space="preserve"> </w:t>
      </w:r>
      <w:r w:rsidR="009E31DD" w:rsidRPr="00802DC2">
        <w:rPr>
          <w:b/>
          <w:bCs/>
          <w:highlight w:val="yellow"/>
        </w:rPr>
        <w:t>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Good Documentation Practice CODE</w:t>
      </w:r>
      <w:r w:rsidR="00E11AE3" w:rsidRPr="00495D36" w:rsidDel="00E11AE3">
        <w:rPr>
          <w:b/>
          <w:bCs/>
          <w:highlight w:val="yellow"/>
        </w:rPr>
        <w:t xml:space="preserve"> </w:t>
      </w:r>
      <w:r w:rsidR="00E11AE3" w:rsidRPr="00495D36">
        <w:rPr>
          <w:b/>
          <w:bCs/>
          <w:highlight w:val="yellow"/>
        </w:rPr>
        <w:t>Good Documentation Practice</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 xml:space="preserve">Quality Manual CODE </w:t>
      </w:r>
      <w:r w:rsidR="00E37397" w:rsidRPr="00E438D5">
        <w:rPr>
          <w:highlight w:val="yellow"/>
        </w:rPr>
        <w:t>Quality Manual</w:t>
      </w:r>
    </w:p>
    <w:p w14:paraId="2F551FA0" w14:textId="6ED75838" w:rsidR="00224638" w:rsidRPr="00E438D5" w:rsidRDefault="002348B2" w:rsidP="00224638">
      <w:pPr>
        <w:pStyle w:val="BodyText"/>
        <w:spacing w:before="8"/>
        <w:rPr>
          <w:highlight w:val="yellow"/>
        </w:rPr>
      </w:pPr>
      <w:r w:rsidRPr="00E438D5">
        <w:rPr>
          <w:highlight w:val="yellow"/>
        </w:rPr>
        <w:t>Quality Manual CODE</w:t>
      </w:r>
      <w:r w:rsidR="00B332BD" w:rsidRPr="00E438D5">
        <w:rPr>
          <w:highlight w:val="yellow"/>
        </w:rPr>
        <w:t xml:space="preserve"> </w:t>
      </w:r>
      <w:r w:rsidRPr="00E438D5">
        <w:rPr>
          <w:highlight w:val="yellow"/>
        </w:rPr>
        <w:t>Organigram</w:t>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Documentation Management CODE</w:t>
      </w:r>
      <w:r w:rsidR="00224638" w:rsidRPr="00E438D5">
        <w:rPr>
          <w:highlight w:val="yellow"/>
          <w:lang w:val="de-AT"/>
        </w:rPr>
        <w:t xml:space="preserve"> </w:t>
      </w:r>
      <w:r w:rsidR="00392405" w:rsidRPr="00E438D5">
        <w:rPr>
          <w:highlight w:val="yellow"/>
          <w:lang w:val="de-AT"/>
        </w:rPr>
        <w:t>Documentation Management</w:t>
      </w:r>
    </w:p>
    <w:p w14:paraId="268D0D30" w14:textId="77777777" w:rsidR="00392405" w:rsidRDefault="00412554" w:rsidP="00224638">
      <w:pPr>
        <w:pStyle w:val="BodyText"/>
        <w:spacing w:before="8"/>
        <w:rPr>
          <w:highlight w:val="yellow"/>
          <w:lang w:val="de-AT"/>
        </w:rPr>
      </w:pPr>
      <w:r w:rsidRPr="00E438D5">
        <w:rPr>
          <w:highlight w:val="yellow"/>
          <w:lang w:val="de-AT"/>
        </w:rPr>
        <w:t xml:space="preserve">Documentation Management CODE </w:t>
      </w:r>
      <w:r w:rsidR="0080714D" w:rsidRPr="00E438D5">
        <w:rPr>
          <w:highlight w:val="yellow"/>
          <w:lang w:val="de-AT"/>
        </w:rPr>
        <w:t>Document Change Request</w:t>
      </w:r>
    </w:p>
    <w:p w14:paraId="0438FC56" w14:textId="32EC1922" w:rsidR="00224638" w:rsidRPr="00E438D5" w:rsidRDefault="00412554" w:rsidP="00224638">
      <w:pPr>
        <w:pStyle w:val="BodyText"/>
        <w:spacing w:before="8"/>
        <w:rPr>
          <w:lang w:val="de-AT"/>
        </w:rPr>
      </w:pPr>
      <w:r w:rsidRPr="00E438D5">
        <w:rPr>
          <w:highlight w:val="yellow"/>
          <w:lang w:val="de-AT"/>
        </w:rPr>
        <w:t xml:space="preserve">Documentation Management CODE </w:t>
      </w:r>
      <w:r w:rsidR="008B2582" w:rsidRPr="00E438D5">
        <w:rPr>
          <w:highlight w:val="yellow"/>
          <w:lang w:val="de-AT"/>
        </w:rPr>
        <w:t>SOP and WI</w:t>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NBE-Therapeutics</w:t>
      </w:r>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Quality Management Director</w:t>
      </w:r>
      <w:r w:rsidR="007C7D85" w:rsidRPr="007C0AA7">
        <w:t xml:space="preserve"> </w:t>
      </w:r>
      <w:r w:rsidR="00656C42" w:rsidRPr="007C0AA7">
        <w:t>or delegate/</w:t>
      </w:r>
      <w:r w:rsidR="00B92B42" w:rsidRPr="00E438D5">
        <w:rPr>
          <w:highlight w:val="yellow"/>
        </w:rPr>
        <w:t>CEO</w:t>
      </w:r>
      <w:r w:rsidR="00656C42" w:rsidRPr="00E438D5">
        <w:rPr>
          <w:highlight w:val="yellow"/>
        </w:rPr>
      </w:r>
      <w:r w:rsidR="00B92B42" w:rsidRPr="00E438D5">
        <w:rPr>
          <w:highlight w:val="yellow"/>
        </w:rPr>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NBE-Therapeutics</w:t>
      </w:r>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Quality Management Director</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NBE-Therapeutics</w:t>
      </w:r>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E438D5">
        <w:rPr>
          <w:b/>
          <w:bCs/>
          <w:highlight w:val="yellow"/>
        </w:rPr>
        <w:t>Training Management CODE Training Management CODETrainingTitle&gt;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footer of the documents guarantees the adequacy of printouts only at the moment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E438D5">
        <w:rPr>
          <w:b/>
          <w:bCs/>
          <w:highlight w:val="yellow"/>
        </w:rPr>
        <w:t>Training Management CODE Training Management CODETrainingTitle&gt;</w:t>
      </w:r>
      <w:r w:rsidR="00C211AD">
        <w:rPr>
          <w:b/>
          <w:bCs/>
        </w:rPr>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NBE-Therapeutics</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NBE-Therapeutics</w:t>
      </w:r>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E438D5">
        <w:rPr>
          <w:b/>
          <w:bCs/>
          <w:highlight w:val="yellow"/>
        </w:rPr>
        <w:t>ArchivingArchivingCode&gt; Archiving</w:t>
      </w:r>
      <w:r w:rsidR="005E3BFC">
        <w:rPr>
          <w:b/>
          <w:bCs/>
        </w:rPr>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Quality Manual CODE</w:t>
      </w:r>
      <w:r w:rsidRPr="00E438D5">
        <w:rPr>
          <w:bCs/>
          <w:highlight w:val="yellow"/>
        </w:rPr>
        <w:tab/>
      </w:r>
      <w:r w:rsidRPr="00E438D5">
        <w:rPr>
          <w:bCs/>
          <w:highlight w:val="yellow"/>
        </w:rPr>
        <w:tab/>
        <w:t>Quality Manual</w:t>
      </w:r>
    </w:p>
    <w:p w14:paraId="2DE9A9F8" w14:textId="274635C8" w:rsidR="0031272B" w:rsidRPr="00E438D5" w:rsidRDefault="009C6310" w:rsidP="000B54AE">
      <w:pPr>
        <w:pStyle w:val="BodyText"/>
        <w:spacing w:before="7"/>
        <w:rPr>
          <w:bCs/>
        </w:rPr>
      </w:pPr>
      <w:r w:rsidRPr="00E438D5">
        <w:rPr>
          <w:bCs/>
          <w:highlight w:val="yellow"/>
        </w:rPr>
        <w:t>Good Documentation Practice CODE</w:t>
      </w:r>
      <w:r w:rsidRPr="00E438D5">
        <w:rPr>
          <w:bCs/>
          <w:highlight w:val="yellow"/>
        </w:rPr>
        <w:tab/>
      </w:r>
      <w:r w:rsidR="00587552" w:rsidRPr="00E438D5">
        <w:rPr>
          <w:bCs/>
          <w:highlight w:val="yellow"/>
        </w:rPr>
        <w:tab/>
      </w:r>
      <w:r w:rsidR="00C11830" w:rsidRPr="00E438D5">
        <w:rPr>
          <w:bCs/>
          <w:highlight w:val="yellow"/>
        </w:rPr>
        <w:t>Good Documentation Practice</w:t>
      </w:r>
    </w:p>
    <w:p w14:paraId="291725EE" w14:textId="38437A38" w:rsidR="0031272B" w:rsidRPr="00E438D5" w:rsidRDefault="002B6980" w:rsidP="000B54AE">
      <w:pPr>
        <w:pStyle w:val="BodyText"/>
        <w:spacing w:before="4"/>
      </w:pPr>
      <w:r w:rsidRPr="00E438D5">
        <w:rPr>
          <w:highlight w:val="yellow"/>
        </w:rPr>
        <w:t>Change Management CODE</w:t>
      </w:r>
      <w:r w:rsidR="009C6310" w:rsidRPr="00E438D5">
        <w:rPr>
          <w:highlight w:val="yellow"/>
        </w:rPr>
        <w:tab/>
      </w:r>
      <w:r w:rsidR="00587552" w:rsidRPr="005E121A">
        <w:rPr>
          <w:highlight w:val="yellow"/>
        </w:rPr>
        <w:tab/>
      </w:r>
      <w:r w:rsidRPr="00E438D5">
        <w:rPr>
          <w:highlight w:val="yellow"/>
        </w:rPr>
        <w:t>Change Management</w:t>
      </w:r>
    </w:p>
    <w:p w14:paraId="7D66B0F0" w14:textId="6EEBCD78" w:rsidR="002B6980" w:rsidRDefault="000B0DCF" w:rsidP="000B54AE">
      <w:pPr>
        <w:pStyle w:val="BodyText"/>
        <w:spacing w:before="4"/>
      </w:pPr>
      <w:r w:rsidRPr="00E438D5">
        <w:rPr>
          <w:highlight w:val="yellow"/>
        </w:rPr>
        <w:t>Training Management CODE</w:t>
      </w:r>
      <w:r w:rsidRPr="00E438D5">
        <w:rPr>
          <w:highlight w:val="yellow"/>
        </w:rPr>
        <w:tab/>
      </w:r>
      <w:r w:rsidRPr="00E438D5">
        <w:rPr>
          <w:highlight w:val="yellow"/>
        </w:rPr>
        <w:tab/>
      </w:r>
      <w:r w:rsidR="00D23B73" w:rsidRPr="00E438D5">
        <w:rPr>
          <w:highlight w:val="yellow"/>
        </w:rPr>
        <w:t>Training Management</w:t>
      </w:r>
    </w:p>
    <w:p w14:paraId="5372A9AB" w14:textId="77777777" w:rsidR="007E55C8" w:rsidRDefault="007E55C8" w:rsidP="007E55C8">
      <w:pPr>
        <w:pStyle w:val="BodyText"/>
      </w:pPr>
      <w:r w:rsidRPr="00370DB9">
        <w:rPr>
          <w:highlight w:val="yellow"/>
        </w:rPr>
        <w:t>Archiving CODE</w:t>
      </w:r>
      <w:r w:rsidRPr="00370DB9">
        <w:rPr>
          <w:highlight w:val="yellow"/>
        </w:rPr>
        <w:tab/>
      </w:r>
      <w:r w:rsidRPr="00370DB9">
        <w:rPr>
          <w:highlight w:val="yellow"/>
        </w:rPr>
        <w:tab/>
        <w:t>Archiving</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C46E" w14:textId="77777777" w:rsidR="000421B4" w:rsidRDefault="000421B4">
      <w:r>
        <w:separator/>
      </w:r>
    </w:p>
  </w:endnote>
  <w:endnote w:type="continuationSeparator" w:id="0">
    <w:p w14:paraId="0C2BFC53" w14:textId="77777777" w:rsidR="000421B4" w:rsidRDefault="0004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7273" w14:textId="77777777" w:rsidR="000421B4" w:rsidRDefault="000421B4">
      <w:r>
        <w:separator/>
      </w:r>
    </w:p>
  </w:footnote>
  <w:footnote w:type="continuationSeparator" w:id="0">
    <w:p w14:paraId="5C36FB37" w14:textId="77777777" w:rsidR="000421B4" w:rsidRDefault="0004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Documentation Management CODE</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Date : </w:t>
    </w:r>
    <w:r w:rsidR="0033416A" w:rsidRPr="009C4905">
      <w:rPr>
        <w:i/>
        <w:sz w:val="18"/>
        <w:highlight w:val="yellow"/>
      </w:rPr>
      <w:t>17.11.2022</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12</Pages>
  <Words>3464</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492</cp:revision>
  <dcterms:created xsi:type="dcterms:W3CDTF">2022-07-04T07:31:00Z</dcterms:created>
  <dcterms:modified xsi:type="dcterms:W3CDTF">2022-11-17T09:38:00Z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