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w:t>
      </w:r>
      <w:proofErr w:type="spellStart"/>
      <w:r w:rsidR="00241B5D" w:rsidRPr="00241B5D">
        <w:rPr>
          <w:highlight w:val="yellow"/>
          <w:lang w:val="en-US"/>
        </w:rPr>
        <w:t>SuppliersTitle</w:t>
      </w:r>
      <w:proofErr w:type="spellEnd"/>
      <w:r w:rsidR="00241B5D" w:rsidRPr="00241B5D">
        <w:rPr>
          <w:highlight w:val="yellow"/>
          <w:lang w:val="en-US"/>
        </w:rPr>
        <w:t>&gt;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w:t>
      </w:r>
      <w:proofErr w:type="spellStart"/>
      <w:r w:rsidR="00A001A4" w:rsidRPr="00471323">
        <w:rPr>
          <w:highlight w:val="yellow"/>
        </w:rPr>
        <w:t>CompanyName</w:t>
      </w:r>
      <w:proofErr w:type="spellEnd"/>
      <w:r w:rsidR="00A001A4" w:rsidRPr="00471323">
        <w:rPr>
          <w:highlight w:val="yellow"/>
        </w:rPr>
        <w:t>&gt;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w:t>
      </w:r>
      <w:proofErr w:type="spellStart"/>
      <w:r w:rsidR="00F52572" w:rsidRPr="00471323">
        <w:rPr>
          <w:highlight w:val="yellow"/>
        </w:rPr>
        <w:t>QualityOrganizationHead</w:t>
      </w:r>
      <w:proofErr w:type="spellEnd"/>
      <w:r w:rsidR="00F52572" w:rsidRPr="00471323">
        <w:rPr>
          <w:highlight w:val="yellow"/>
        </w:rPr>
        <w:t>&gt;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w:t>
            </w:r>
            <w:proofErr w:type="spellStart"/>
            <w:r w:rsidR="003C1CC7" w:rsidRPr="003C1CC7">
              <w:rPr>
                <w:highlight w:val="yellow"/>
              </w:rPr>
              <w:t>SupplierQAA</w:t>
            </w:r>
            <w:proofErr w:type="spellEnd"/>
            <w:r w:rsidR="003C1CC7" w:rsidRPr="003C1CC7">
              <w:rPr>
                <w:highlight w:val="yellow"/>
              </w:rPr>
              <w:t>&gt;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r>
              <w:t xml:space="preserve"> at</w:t>
            </w:r>
            <w:r>
              <w:rPr>
                <w:spacing w:val="-2"/>
              </w:rPr>
              <w:t xml:space="preserve"> </w:t>
            </w:r>
            <w:r w:rsidRPr="00196249">
              <w:rPr>
                <w:highlight w:val="yellow"/>
              </w:rPr>
              <w:t>&lt;</w:t>
            </w:r>
            <w:proofErr w:type="spellStart"/>
            <w:r w:rsidRPr="00196249">
              <w:rPr>
                <w:highlight w:val="yellow"/>
              </w:rPr>
              <w:t>ManagementReviewTitle</w:t>
            </w:r>
            <w:proofErr w:type="spellEnd"/>
            <w:r w:rsidRPr="00196249">
              <w:rPr>
                <w:highlight w:val="yellow"/>
              </w:rPr>
              <w:t>&gt;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w:t>
            </w:r>
            <w:proofErr w:type="spellStart"/>
            <w:r w:rsidR="009E3480" w:rsidRPr="009E3480">
              <w:rPr>
                <w:highlight w:val="yellow"/>
              </w:rPr>
              <w:t>SuppliersList</w:t>
            </w:r>
            <w:proofErr w:type="spellEnd"/>
            <w:r w:rsidR="009E3480" w:rsidRPr="009E3480">
              <w:rPr>
                <w:highlight w:val="yellow"/>
              </w:rPr>
              <w: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w:t>
            </w:r>
            <w:proofErr w:type="spellStart"/>
            <w:r w:rsidR="00CE0AC3" w:rsidRPr="00924107">
              <w:rPr>
                <w:highlight w:val="yellow"/>
              </w:rPr>
              <w:t>SuppliersTitle</w:t>
            </w:r>
            <w:proofErr w:type="spellEnd"/>
            <w:r w:rsidR="00CE0AC3" w:rsidRPr="00924107">
              <w:rPr>
                <w:highlight w:val="yellow"/>
              </w:rPr>
              <w:t>&gt;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w:t>
            </w:r>
            <w:proofErr w:type="spellStart"/>
            <w:r w:rsidRPr="00977E8D">
              <w:rPr>
                <w:b/>
                <w:spacing w:val="-2"/>
                <w:highlight w:val="yellow"/>
              </w:rPr>
              <w:t>CompanyName</w:t>
            </w:r>
            <w:proofErr w:type="spellEnd"/>
            <w:r w:rsidRPr="00977E8D">
              <w:rPr>
                <w:b/>
                <w:spacing w:val="-2"/>
                <w:highlight w:val="yellow"/>
              </w:rPr>
              <w:t>&gt;</w:t>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w:t>
            </w:r>
            <w:proofErr w:type="spellStart"/>
            <w:r w:rsidR="00EC73E4" w:rsidRPr="00EC73E4">
              <w:rPr>
                <w:highlight w:val="yellow"/>
              </w:rPr>
              <w:t>CompanyName</w:t>
            </w:r>
            <w:proofErr w:type="spellEnd"/>
            <w:r w:rsidR="00EC73E4" w:rsidRPr="00EC73E4">
              <w:rPr>
                <w:highlight w:val="yellow"/>
              </w:rPr>
              <w:t>&gt;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w:t>
      </w:r>
      <w:proofErr w:type="spellStart"/>
      <w:r w:rsidR="003079DF" w:rsidRPr="003079DF">
        <w:rPr>
          <w:lang w:val="en-US"/>
        </w:rPr>
        <w:t>ChangeManagementTitle</w:t>
      </w:r>
      <w:proofErr w:type="spellEnd"/>
      <w:r w:rsidR="003079DF" w:rsidRPr="003079DF">
        <w:rPr>
          <w:lang w:val="en-US"/>
        </w:rPr>
        <w:t>&gt;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w:t>
      </w:r>
      <w:proofErr w:type="spellStart"/>
      <w:r w:rsidR="002678A6" w:rsidRPr="00556050">
        <w:rPr>
          <w:b/>
          <w:bCs/>
          <w:highlight w:val="yellow"/>
          <w:lang w:val="en-US"/>
        </w:rPr>
        <w:t>ChangeManagementCode</w:t>
      </w:r>
      <w:proofErr w:type="spellEnd"/>
      <w:r w:rsidR="002678A6" w:rsidRPr="00556050">
        <w:rPr>
          <w:b/>
          <w:bCs/>
          <w:highlight w:val="yellow"/>
          <w:lang w:val="en-US"/>
        </w:rPr>
        <w:t>&gt;</w:t>
      </w:r>
      <w:r w:rsidR="003079DF" w:rsidRPr="00556050">
        <w:rPr>
          <w:b/>
          <w:bCs/>
          <w:highlight w:val="yellow"/>
          <w:lang w:val="en-US"/>
        </w:rPr>
        <w:t xml:space="preserve"> &lt;</w:t>
      </w:r>
      <w:proofErr w:type="spellStart"/>
      <w:r w:rsidR="003079DF" w:rsidRPr="00556050">
        <w:rPr>
          <w:b/>
          <w:bCs/>
          <w:highlight w:val="yellow"/>
          <w:lang w:val="en-US"/>
        </w:rPr>
        <w:t>ChangeManagementTitle</w:t>
      </w:r>
      <w:proofErr w:type="spellEnd"/>
      <w:r w:rsidR="003079DF" w:rsidRPr="00556050">
        <w:rPr>
          <w:b/>
          <w:bCs/>
          <w:highlight w:val="yellow"/>
          <w:lang w:val="en-US"/>
        </w:rPr>
        <w:t>&gt;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w:t>
      </w:r>
      <w:proofErr w:type="spellStart"/>
      <w:r w:rsidR="00982DFE" w:rsidRPr="00655391">
        <w:rPr>
          <w:b/>
          <w:bCs/>
          <w:highlight w:val="yellow"/>
          <w:lang w:val="en-US"/>
        </w:rPr>
        <w:t>SupplierSelfAssessment</w:t>
      </w:r>
      <w:proofErr w:type="spellEnd"/>
      <w:r w:rsidR="00982DFE" w:rsidRPr="00655391">
        <w:rPr>
          <w:b/>
          <w:bCs/>
          <w:highlight w:val="yellow"/>
          <w:lang w:val="en-US"/>
        </w:rPr>
        <w: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w:t>
      </w:r>
      <w:proofErr w:type="spellStart"/>
      <w:r w:rsidR="00655391" w:rsidRPr="00655391">
        <w:rPr>
          <w:b/>
          <w:bCs/>
          <w:highlight w:val="yellow"/>
          <w:lang w:val="en-US"/>
        </w:rPr>
        <w:t>SupplierSelfAssessment</w:t>
      </w:r>
      <w:proofErr w:type="spellEnd"/>
      <w:r w:rsidR="00655391" w:rsidRPr="00655391">
        <w:rPr>
          <w:b/>
          <w:bCs/>
          <w:highlight w:val="yellow"/>
          <w:lang w:val="en-US"/>
        </w:rPr>
        <w:t>&gt;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w:t>
      </w:r>
      <w:proofErr w:type="spellStart"/>
      <w:r w:rsidR="00695E87" w:rsidRPr="00655391">
        <w:rPr>
          <w:b/>
          <w:bCs/>
          <w:highlight w:val="yellow"/>
          <w:lang w:val="en-US"/>
        </w:rPr>
        <w:t>SupplierSelfAssessment</w:t>
      </w:r>
      <w:proofErr w:type="spellEnd"/>
      <w:r w:rsidR="00695E87" w:rsidRPr="00655391">
        <w:rPr>
          <w:b/>
          <w:bCs/>
          <w:highlight w:val="yellow"/>
          <w:lang w:val="en-US"/>
        </w:rPr>
        <w: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w:t>
      </w:r>
      <w:proofErr w:type="spellStart"/>
      <w:r w:rsidR="004107AA" w:rsidRPr="00655391">
        <w:rPr>
          <w:b/>
          <w:bCs/>
          <w:highlight w:val="yellow"/>
          <w:lang w:val="en-US"/>
        </w:rPr>
        <w:t>SupplierSelfAssessment</w:t>
      </w:r>
      <w:proofErr w:type="spellEnd"/>
      <w:r w:rsidR="004107AA" w:rsidRPr="00655391">
        <w:rPr>
          <w:b/>
          <w:bCs/>
          <w:highlight w:val="yellow"/>
          <w:lang w:val="en-US"/>
        </w:rPr>
        <w: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&lt;</w:t>
      </w:r>
      <w:proofErr w:type="spellStart"/>
      <w:r w:rsidR="002D53CE" w:rsidRPr="00655391">
        <w:rPr>
          <w:b/>
          <w:bCs/>
          <w:highlight w:val="yellow"/>
          <w:lang w:val="en-US"/>
        </w:rPr>
        <w:t>SupplierSelfAssessment</w:t>
      </w:r>
      <w:proofErr w:type="spellEnd"/>
      <w:r w:rsidR="002D53CE" w:rsidRPr="00655391">
        <w:rPr>
          <w:b/>
          <w:bCs/>
          <w:highlight w:val="yellow"/>
          <w:lang w:val="en-US"/>
        </w:rPr>
        <w:t>&gt;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w:t>
      </w:r>
      <w:proofErr w:type="spellStart"/>
      <w:r w:rsidR="004E454D" w:rsidRPr="00655391">
        <w:rPr>
          <w:b/>
          <w:bCs/>
          <w:highlight w:val="yellow"/>
        </w:rPr>
        <w:t>SupplierSelfAssessment</w:t>
      </w:r>
      <w:proofErr w:type="spellEnd"/>
      <w:r w:rsidR="004E454D" w:rsidRPr="00655391">
        <w:rPr>
          <w:b/>
          <w:bCs/>
          <w:highlight w:val="yellow"/>
        </w:rPr>
        <w: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record</w:t>
      </w:r>
      <w:r w:rsidR="002E7232">
        <w:t xml:space="preserve"> according to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w:t>
      </w:r>
      <w:proofErr w:type="spellStart"/>
      <w:r w:rsidR="00251AF8" w:rsidRPr="00251AF8">
        <w:rPr>
          <w:b/>
          <w:bCs/>
          <w:highlight w:val="yellow"/>
        </w:rPr>
        <w:t>QRM_Code</w:t>
      </w:r>
      <w:proofErr w:type="spellEnd"/>
      <w:r w:rsidR="00251AF8" w:rsidRPr="00251AF8">
        <w:rPr>
          <w:b/>
          <w:bCs/>
          <w:highlight w:val="yellow"/>
        </w:rPr>
        <w:t>&gt; &lt;</w:t>
      </w:r>
      <w:proofErr w:type="spellStart"/>
      <w:r w:rsidR="00251AF8" w:rsidRPr="00251AF8">
        <w:rPr>
          <w:b/>
          <w:bCs/>
          <w:highlight w:val="yellow"/>
        </w:rPr>
        <w:t>QRM_Title</w:t>
      </w:r>
      <w:proofErr w:type="spellEnd"/>
      <w:r w:rsidR="00251AF8" w:rsidRPr="00251AF8">
        <w:rPr>
          <w:b/>
          <w:bCs/>
          <w:highlight w:val="yellow"/>
        </w:rPr>
        <w:t>&gt;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w:t>
      </w:r>
      <w:proofErr w:type="spellStart"/>
      <w:r w:rsidR="00E0796F">
        <w:rPr>
          <w:lang w:val="en-US"/>
        </w:rPr>
        <w:t>CompanyName</w:t>
      </w:r>
      <w:proofErr w:type="spellEnd"/>
      <w:r w:rsidR="00E0796F">
        <w:rPr>
          <w:lang w:val="en-US"/>
        </w:rPr>
        <w:t>&gt;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w:t>
      </w:r>
      <w:proofErr w:type="spellStart"/>
      <w:r>
        <w:rPr>
          <w:lang w:val="en-US"/>
        </w:rPr>
        <w:t>CompanyName</w:t>
      </w:r>
      <w:proofErr w:type="spellEnd"/>
      <w:r>
        <w:rPr>
          <w:lang w:val="en-US"/>
        </w:rPr>
        <w:t>&gt;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w:t>
      </w:r>
      <w:proofErr w:type="spellStart"/>
      <w:r w:rsidR="00692B6D" w:rsidRPr="00692B6D">
        <w:rPr>
          <w:highlight w:val="yellow"/>
          <w:lang w:val="en-US"/>
        </w:rPr>
        <w:t>SupplierSelfAssessment</w:t>
      </w:r>
      <w:proofErr w:type="spellEnd"/>
      <w:r w:rsidR="00692B6D" w:rsidRPr="00692B6D">
        <w:rPr>
          <w:highlight w:val="yellow"/>
          <w:lang w:val="en-US"/>
        </w:rPr>
        <w:t>&gt;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w:t>
      </w:r>
      <w:proofErr w:type="spellStart"/>
      <w:r w:rsidR="00512884" w:rsidRPr="00512884">
        <w:rPr>
          <w:highlight w:val="yellow"/>
          <w:lang w:val="en-US"/>
        </w:rPr>
        <w:t>SupplierEvaluation</w:t>
      </w:r>
      <w:proofErr w:type="spellEnd"/>
      <w:r w:rsidR="00512884" w:rsidRPr="00512884">
        <w:rPr>
          <w:highlight w:val="yellow"/>
          <w:lang w:val="en-US"/>
        </w:rPr>
        <w:t>&gt; record</w:t>
      </w:r>
      <w:r w:rsidR="00512884">
        <w:rPr>
          <w:lang w:val="en-US"/>
        </w:rPr>
        <w:t xml:space="preserve"> and</w:t>
      </w:r>
      <w:r w:rsidR="00512884" w:rsidRPr="00512884">
        <w:rPr>
          <w:lang w:val="en-US"/>
        </w:rPr>
        <w:t xml:space="preserv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&lt;</w:t>
      </w:r>
      <w:proofErr w:type="spellStart"/>
      <w:r w:rsidR="0099566E" w:rsidRPr="0099566E">
        <w:rPr>
          <w:lang w:val="en-US"/>
        </w:rPr>
        <w:t>SupplierQAA</w:t>
      </w:r>
      <w:proofErr w:type="spellEnd"/>
      <w:r w:rsidR="0099566E" w:rsidRPr="0099566E">
        <w:rPr>
          <w:lang w:val="en-US"/>
        </w:rPr>
        <w:t>&gt;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w:t>
      </w:r>
      <w:proofErr w:type="spellStart"/>
      <w:r w:rsidR="00012FAF" w:rsidRPr="00012FAF">
        <w:rPr>
          <w:highlight w:val="yellow"/>
          <w:lang w:val="en-US"/>
        </w:rPr>
        <w:t>SupplierQAA</w:t>
      </w:r>
      <w:proofErr w:type="spellEnd"/>
      <w:r w:rsidR="00012FAF" w:rsidRPr="00012FAF">
        <w:rPr>
          <w:highlight w:val="yellow"/>
          <w:lang w:val="en-US"/>
        </w:rPr>
        <w:t>&gt;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w:t>
      </w:r>
      <w:proofErr w:type="spellStart"/>
      <w:r w:rsidR="00E0796F">
        <w:rPr>
          <w:lang w:val="en-US"/>
        </w:rPr>
        <w:t>CompanyName</w:t>
      </w:r>
      <w:proofErr w:type="spellEnd"/>
      <w:r w:rsidR="00E0796F">
        <w:rPr>
          <w:lang w:val="en-US"/>
        </w:rPr>
        <w:t>&gt;</w:t>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&lt;</w:t>
      </w:r>
      <w:proofErr w:type="spellStart"/>
      <w:r w:rsidRPr="008C2C62">
        <w:rPr>
          <w:b/>
          <w:bCs/>
          <w:highlight w:val="yellow"/>
          <w:lang w:val="en-US"/>
        </w:rPr>
        <w:t>SupplierQAA</w:t>
      </w:r>
      <w:proofErr w:type="spellEnd"/>
      <w:r w:rsidRPr="008C2C62">
        <w:rPr>
          <w:b/>
          <w:bCs/>
          <w:highlight w:val="yellow"/>
          <w:lang w:val="en-US"/>
        </w:rPr>
        <w:t>&gt;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w:t>
      </w:r>
      <w:proofErr w:type="spellStart"/>
      <w:r w:rsidR="008C2C62" w:rsidRPr="008C2C62">
        <w:rPr>
          <w:b/>
          <w:bCs/>
          <w:highlight w:val="yellow"/>
          <w:lang w:val="en-US"/>
        </w:rPr>
        <w:t>SupplierQAA</w:t>
      </w:r>
      <w:proofErr w:type="spellEnd"/>
      <w:r w:rsidR="008C2C62" w:rsidRPr="008C2C62">
        <w:rPr>
          <w:b/>
          <w:bCs/>
          <w:highlight w:val="yellow"/>
          <w:lang w:val="en-US"/>
        </w:rPr>
        <w:t xml:space="preserve">&gt;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w:t>
      </w:r>
      <w:proofErr w:type="spellStart"/>
      <w:r w:rsidR="008C2C62" w:rsidRPr="008C2C62">
        <w:rPr>
          <w:highlight w:val="yellow"/>
          <w:lang w:val="en-US"/>
        </w:rPr>
        <w:t>SupplierQAA</w:t>
      </w:r>
      <w:proofErr w:type="spellEnd"/>
      <w:r w:rsidR="008C2C62" w:rsidRPr="008C2C62">
        <w:rPr>
          <w:highlight w:val="yellow"/>
          <w:lang w:val="en-US"/>
        </w:rPr>
        <w:t>&gt;</w:t>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w:t>
      </w:r>
      <w:proofErr w:type="spellStart"/>
      <w:r w:rsidR="00AF1602" w:rsidRPr="008C2C62">
        <w:rPr>
          <w:highlight w:val="yellow"/>
          <w:lang w:val="en-US"/>
        </w:rPr>
        <w:t>SupplierQAA</w:t>
      </w:r>
      <w:proofErr w:type="spellEnd"/>
      <w:r w:rsidR="00AF1602" w:rsidRPr="008C2C62">
        <w:rPr>
          <w:highlight w:val="yellow"/>
          <w:lang w:val="en-US"/>
        </w:rPr>
        <w:t>&gt;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B5025" w:rsidRPr="00BB5025">
        <w:rPr>
          <w:lang w:val="en-US"/>
        </w:rPr>
        <w:t xml:space="preserve"> or change notification.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&lt;</w:t>
      </w:r>
      <w:proofErr w:type="spellStart"/>
      <w:r w:rsidR="00860576" w:rsidRPr="008C2C62">
        <w:rPr>
          <w:highlight w:val="yellow"/>
          <w:lang w:val="en-US"/>
        </w:rPr>
        <w:t>SupplierQAA</w:t>
      </w:r>
      <w:proofErr w:type="spellEnd"/>
      <w:r w:rsidR="00860576" w:rsidRPr="008C2C62">
        <w:rPr>
          <w:highlight w:val="yellow"/>
          <w:lang w:val="en-US"/>
        </w:rPr>
        <w:t>&gt;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w:t>
      </w:r>
      <w:proofErr w:type="spellStart"/>
      <w:r w:rsidR="00647421" w:rsidRPr="008C2C62">
        <w:rPr>
          <w:highlight w:val="yellow"/>
          <w:lang w:val="en-US"/>
        </w:rPr>
        <w:t>SupplierQAA</w:t>
      </w:r>
      <w:proofErr w:type="spellEnd"/>
      <w:r w:rsidR="00647421" w:rsidRPr="008C2C62">
        <w:rPr>
          <w:highlight w:val="yellow"/>
          <w:lang w:val="en-US"/>
        </w:rPr>
        <w:t>&gt;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&lt;</w:t>
      </w:r>
      <w:proofErr w:type="spellStart"/>
      <w:r w:rsidR="00D24ADA" w:rsidRPr="00D24ADA">
        <w:rPr>
          <w:highlight w:val="yellow"/>
          <w:lang w:val="en-US"/>
        </w:rPr>
        <w:t>ManagementReviewTitle</w:t>
      </w:r>
      <w:proofErr w:type="spellEnd"/>
      <w:r w:rsidR="00D24ADA" w:rsidRPr="00D24ADA">
        <w:rPr>
          <w:highlight w:val="yellow"/>
          <w:lang w:val="en-US"/>
        </w:rPr>
        <w:t>&gt;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w:t>
      </w:r>
      <w:proofErr w:type="spellStart"/>
      <w:r w:rsidR="00E33BF9" w:rsidRPr="009A0AD0">
        <w:rPr>
          <w:highlight w:val="yellow"/>
          <w:lang w:val="en-US"/>
        </w:rPr>
        <w:t>SuppliersList</w:t>
      </w:r>
      <w:proofErr w:type="spellEnd"/>
      <w:r w:rsidR="00E33BF9" w:rsidRPr="009A0AD0">
        <w:rPr>
          <w:highlight w:val="yellow"/>
          <w:lang w:val="en-US"/>
        </w:rPr>
        <w: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w:t>
      </w:r>
      <w:proofErr w:type="spellStart"/>
      <w:r w:rsidR="00895707" w:rsidRPr="00895707">
        <w:rPr>
          <w:highlight w:val="yellow"/>
          <w:lang w:val="en-US"/>
        </w:rPr>
        <w:t>SupplierQAA</w:t>
      </w:r>
      <w:proofErr w:type="spellEnd"/>
      <w:r w:rsidR="00895707" w:rsidRPr="00895707">
        <w:rPr>
          <w:highlight w:val="yellow"/>
          <w:lang w:val="en-US"/>
        </w:rPr>
        <w:t>&gt;</w:t>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&lt;</w:t>
      </w:r>
      <w:proofErr w:type="spellStart"/>
      <w:r w:rsidRPr="00927C97">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DocMngmtTitle</w:t>
      </w:r>
      <w:proofErr w:type="spellEnd"/>
      <w:r w:rsidRPr="002D13ED">
        <w:rPr>
          <w:highlight w:val="yellow"/>
        </w:rPr>
        <w:t>&gt;</w:t>
      </w:r>
    </w:p>
    <w:p w14:paraId="7CF39E30"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ChangeManagementTitle</w:t>
      </w:r>
      <w:proofErr w:type="spellEnd"/>
      <w:r w:rsidRPr="002D13ED">
        <w:rPr>
          <w:highlight w:val="yellow"/>
        </w:rPr>
        <w:t>&gt;</w:t>
      </w:r>
    </w:p>
    <w:p w14:paraId="4824721E"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CAPA_Title</w:t>
      </w:r>
      <w:proofErr w:type="spellEnd"/>
      <w:r w:rsidRPr="002D13ED">
        <w:rPr>
          <w:highlight w:val="yellow"/>
        </w:rPr>
        <w:t>&gt;</w:t>
      </w:r>
    </w:p>
    <w:p w14:paraId="393AC55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AuditsInspectionsCode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AuditsInspectionsTitle</w:t>
      </w:r>
      <w:proofErr w:type="spellEnd"/>
      <w:r w:rsidRPr="002D13ED">
        <w:rPr>
          <w:highlight w:val="yellow"/>
        </w:rPr>
        <w:t>&gt;</w:t>
      </w:r>
    </w:p>
    <w:p w14:paraId="1EB239CF" w14:textId="77777777" w:rsidR="00D37F84" w:rsidRPr="002D13ED" w:rsidRDefault="00D37F84" w:rsidP="005033A8">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1CD0E21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MaterialManagementTitle</w:t>
      </w:r>
      <w:proofErr w:type="spellEnd"/>
      <w:r w:rsidRPr="002D13ED">
        <w:rPr>
          <w:highlight w:val="yellow"/>
        </w:rPr>
        <w:t>&gt;</w:t>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w:t>
      </w:r>
      <w:proofErr w:type="spellStart"/>
      <w:r w:rsidR="001F151A" w:rsidRPr="001F151A">
        <w:rPr>
          <w:highlight w:val="yellow"/>
          <w:lang w:val="en-US"/>
        </w:rPr>
        <w:t>SupplierSelfAssessment</w:t>
      </w:r>
      <w:proofErr w:type="spellEnd"/>
      <w:r w:rsidR="001F151A" w:rsidRPr="001F151A">
        <w:rPr>
          <w:highlight w:val="yellow"/>
          <w:lang w:val="en-US"/>
        </w:rPr>
        <w:t>&gt;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proofErr w:type="spellStart"/>
      <w:r w:rsidR="001F151A" w:rsidRPr="00906991">
        <w:rPr>
          <w:highlight w:val="yellow"/>
          <w:lang w:val="en-US"/>
        </w:rPr>
        <w:t>SupplierEvaluation</w:t>
      </w:r>
      <w:proofErr w:type="spellEnd"/>
      <w:r w:rsidR="001F151A" w:rsidRPr="00906991">
        <w:rPr>
          <w:highlight w:val="yellow"/>
          <w:lang w:val="en-US"/>
        </w:rPr>
        <w:t>&gt;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w:t>
      </w:r>
      <w:proofErr w:type="spellStart"/>
      <w:r w:rsidRPr="009A0AD0">
        <w:rPr>
          <w:highlight w:val="yellow"/>
          <w:lang w:val="en-US"/>
        </w:rPr>
        <w:t>SuppliersList</w:t>
      </w:r>
      <w:proofErr w:type="spellEnd"/>
      <w:r w:rsidRPr="00E33BF9">
        <w:rPr>
          <w:highlight w:val="yellow"/>
          <w:lang w:val="en-US"/>
        </w:rPr>
        <w:t>&gt;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w:t>
      </w:r>
      <w:proofErr w:type="spellStart"/>
      <w:r w:rsidR="00906991" w:rsidRPr="00906991">
        <w:rPr>
          <w:highlight w:val="yellow"/>
          <w:lang w:val="en-US"/>
        </w:rPr>
        <w:t>SupplierQAA</w:t>
      </w:r>
      <w:proofErr w:type="spellEnd"/>
      <w:r w:rsidR="00906991" w:rsidRPr="00866F24">
        <w:rPr>
          <w:highlight w:val="yellow"/>
          <w:lang w:val="en-US"/>
        </w:rPr>
        <w:t xml:space="preserve">&gt;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t>CompanyLogo</w:t>
          </w:r>
          <w:proofErr w:type="spellEnd"/>
          <w:r w:rsidRPr="001C44FC">
            <w:t>&gt;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w:t>
          </w:r>
          <w:proofErr w:type="spellStart"/>
          <w:r w:rsidRPr="00516356">
            <w:rPr>
              <w:sz w:val="24"/>
              <w:szCs w:val="24"/>
            </w:rPr>
            <w:t>SuppliersTitle</w:t>
          </w:r>
          <w:proofErr w:type="spellEnd"/>
          <w:r w:rsidRPr="00516356">
            <w:rPr>
              <w:sz w:val="24"/>
              <w:szCs w:val="24"/>
            </w:rPr>
            <w:t>&gt;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