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ABA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93673164"/>
      <w:bookmarkStart w:id="1" w:name="_Toc69400861"/>
      <w:bookmarkStart w:id="2" w:name="_Toc95307598"/>
      <w:bookmarkEnd w:id="0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CA3AEB" w14:paraId="7AA1D520" w14:textId="77777777" w:rsidTr="00EC6CF4">
        <w:tc>
          <w:tcPr>
            <w:tcW w:w="9062" w:type="dxa"/>
            <w:shd w:val="clear" w:color="auto" w:fill="B7ADA5"/>
          </w:tcPr>
          <w:p w14:paraId="52CF6D52" w14:textId="7967C884" w:rsidR="0016349B" w:rsidRDefault="004E7A7F" w:rsidP="004E7A7F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Recall_Report</w:t>
            </w:r>
            <w:proofErr w:type="spellEnd"/>
            <w:r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D7A33DF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424C69B" w14:textId="7264B3A5" w:rsidR="00943844" w:rsidRDefault="004E7A7F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Quality Defect C</w:t>
      </w:r>
      <w:r w:rsidR="003A6CA9" w:rsidRPr="00943844">
        <w:rPr>
          <w:b/>
          <w:bCs/>
          <w:sz w:val="24"/>
          <w:szCs w:val="24"/>
          <w:lang w:val="en-US"/>
        </w:rPr>
        <w:t xml:space="preserve">lass: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83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94915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>Class III</w:t>
      </w:r>
    </w:p>
    <w:p w14:paraId="51E404EB" w14:textId="77777777" w:rsidR="004B28A3" w:rsidRDefault="004B28A3" w:rsidP="004776FA">
      <w:pPr>
        <w:rPr>
          <w:b/>
          <w:bCs/>
          <w:sz w:val="24"/>
          <w:szCs w:val="24"/>
          <w:lang w:val="en-US"/>
        </w:rPr>
      </w:pPr>
    </w:p>
    <w:p w14:paraId="355A150B" w14:textId="77777777" w:rsidR="00B12B3C" w:rsidRPr="00627610" w:rsidRDefault="003A6CA9" w:rsidP="00B12B3C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943844">
        <w:rPr>
          <w:b/>
          <w:bCs/>
          <w:sz w:val="24"/>
          <w:szCs w:val="24"/>
          <w:lang w:val="en-US"/>
        </w:rPr>
        <w:t xml:space="preserve"> Wholesale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Consumer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>
        <w:rPr>
          <w:b/>
          <w:bCs/>
          <w:sz w:val="24"/>
          <w:szCs w:val="24"/>
          <w:lang w:val="en-US"/>
        </w:rPr>
        <w:t>Mock Recall Trial</w:t>
      </w:r>
    </w:p>
    <w:p w14:paraId="3FF798AA" w14:textId="5BE60782" w:rsidR="004B28A3" w:rsidRDefault="004B28A3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3AEB" w14:paraId="15567A61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18A88DD9" w14:textId="77777777" w:rsidR="00943844" w:rsidRDefault="003A6CA9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CA3AEB" w14:paraId="709212AD" w14:textId="77777777" w:rsidTr="00943844">
        <w:tc>
          <w:tcPr>
            <w:tcW w:w="2830" w:type="dxa"/>
          </w:tcPr>
          <w:p w14:paraId="31A185B9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D857FD">
              <w:rPr>
                <w:sz w:val="24"/>
                <w:szCs w:val="24"/>
                <w:lang w:val="en-US"/>
              </w:rPr>
              <w:t xml:space="preserve"> </w:t>
            </w:r>
            <w:r w:rsidR="003A5975" w:rsidRPr="003A5975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1C93E3AD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C2E1BA5" w14:textId="77777777" w:rsidTr="00943844">
        <w:tc>
          <w:tcPr>
            <w:tcW w:w="2830" w:type="dxa"/>
          </w:tcPr>
          <w:p w14:paraId="2EE364D8" w14:textId="77777777" w:rsidR="003A5975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3A5975">
              <w:rPr>
                <w:sz w:val="24"/>
                <w:szCs w:val="24"/>
                <w:lang w:val="en-US"/>
              </w:rPr>
              <w:t>MOH registration number</w:t>
            </w:r>
          </w:p>
        </w:tc>
        <w:tc>
          <w:tcPr>
            <w:tcW w:w="6232" w:type="dxa"/>
          </w:tcPr>
          <w:p w14:paraId="64A07ED2" w14:textId="77777777" w:rsidR="003A5975" w:rsidRDefault="003A5975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02615A5" w14:textId="77777777" w:rsidTr="00943844">
        <w:tc>
          <w:tcPr>
            <w:tcW w:w="2830" w:type="dxa"/>
          </w:tcPr>
          <w:p w14:paraId="0FE79596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</w:p>
        </w:tc>
        <w:tc>
          <w:tcPr>
            <w:tcW w:w="6232" w:type="dxa"/>
          </w:tcPr>
          <w:p w14:paraId="42624CB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4835219" w14:textId="77777777" w:rsidTr="00943844">
        <w:tc>
          <w:tcPr>
            <w:tcW w:w="2830" w:type="dxa"/>
          </w:tcPr>
          <w:p w14:paraId="60193CDF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4341205C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0A88EC0F" w14:textId="77777777" w:rsidTr="00943844">
        <w:tc>
          <w:tcPr>
            <w:tcW w:w="2830" w:type="dxa"/>
          </w:tcPr>
          <w:p w14:paraId="2CF15968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41FFB9D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B26A85E" w14:textId="77777777" w:rsidTr="00943844">
        <w:tc>
          <w:tcPr>
            <w:tcW w:w="2830" w:type="dxa"/>
          </w:tcPr>
          <w:p w14:paraId="41D4C075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19E82D83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F4CDA43" w14:textId="77777777" w:rsidTr="00943844">
        <w:tc>
          <w:tcPr>
            <w:tcW w:w="2830" w:type="dxa"/>
          </w:tcPr>
          <w:p w14:paraId="15161DAE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Packaging details (SKU)</w:t>
            </w:r>
          </w:p>
        </w:tc>
        <w:tc>
          <w:tcPr>
            <w:tcW w:w="6232" w:type="dxa"/>
          </w:tcPr>
          <w:p w14:paraId="0C7D55AF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5E255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70CA5A4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1DF57AE9" w14:textId="77777777" w:rsidR="003A5975" w:rsidRPr="00F854EF" w:rsidRDefault="003A6CA9" w:rsidP="003A5975">
      <w:pPr>
        <w:rPr>
          <w:b/>
          <w:bCs/>
          <w:sz w:val="24"/>
          <w:szCs w:val="24"/>
          <w:lang w:val="en-US"/>
        </w:rPr>
      </w:pPr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6D78FA75" w14:textId="77777777" w:rsidR="003A5975" w:rsidRDefault="003A6CA9" w:rsidP="003A5975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>Detail about the nature of the issue leading to the recall.</w:t>
      </w:r>
    </w:p>
    <w:p w14:paraId="4405835E" w14:textId="391ED3A4" w:rsidR="004E7A7F" w:rsidRPr="00580EA2" w:rsidRDefault="001E73CF" w:rsidP="003A5975">
      <w:pPr>
        <w:rPr>
          <w:i/>
          <w:iCs/>
          <w:color w:val="2F5496" w:themeColor="accent1" w:themeShade="BF"/>
          <w:lang w:val="en-US"/>
        </w:rPr>
      </w:pPr>
      <w:r w:rsidRPr="001E73CF">
        <w:rPr>
          <w:i/>
          <w:iCs/>
          <w:color w:val="2F5496" w:themeColor="accent1" w:themeShade="BF"/>
          <w:lang w:val="en-US"/>
        </w:rPr>
        <w:t>Deviation, Nonconformance, Complaint investigation outputs</w:t>
      </w:r>
    </w:p>
    <w:p w14:paraId="552D5516" w14:textId="77777777" w:rsidR="00F854EF" w:rsidRDefault="00F854EF" w:rsidP="00943844">
      <w:pPr>
        <w:rPr>
          <w:sz w:val="24"/>
          <w:szCs w:val="24"/>
          <w:lang w:val="en-US"/>
        </w:rPr>
      </w:pPr>
    </w:p>
    <w:p w14:paraId="47260D20" w14:textId="77777777" w:rsidR="00943844" w:rsidRPr="00F854EF" w:rsidRDefault="003A6CA9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t>Action</w:t>
      </w:r>
      <w:r w:rsidR="00250018">
        <w:rPr>
          <w:b/>
          <w:bCs/>
          <w:sz w:val="24"/>
          <w:szCs w:val="24"/>
          <w:lang w:val="en-US"/>
        </w:rPr>
        <w:t>s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19D26031" w14:textId="77777777" w:rsidR="00943844" w:rsidRPr="00580EA2" w:rsidRDefault="003A6CA9" w:rsidP="004776FA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>List of actions, dates, details.</w:t>
      </w:r>
    </w:p>
    <w:p w14:paraId="36C0E9EE" w14:textId="77777777" w:rsidR="004B28A3" w:rsidRDefault="003A6CA9">
      <w:pPr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3AEB" w14:paraId="6D064096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21DB16CB" w14:textId="77777777" w:rsidR="003A5975" w:rsidRDefault="003A6CA9" w:rsidP="001A71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Results of product </w:t>
            </w:r>
            <w:r w:rsidR="00332AEC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ecall</w:t>
            </w:r>
          </w:p>
        </w:tc>
      </w:tr>
      <w:tr w:rsidR="00CA3AEB" w14:paraId="14D4F52A" w14:textId="77777777" w:rsidTr="00A143AA">
        <w:tc>
          <w:tcPr>
            <w:tcW w:w="3256" w:type="dxa"/>
          </w:tcPr>
          <w:p w14:paraId="23E8A857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quantity</w:t>
            </w:r>
          </w:p>
        </w:tc>
        <w:tc>
          <w:tcPr>
            <w:tcW w:w="5806" w:type="dxa"/>
          </w:tcPr>
          <w:p w14:paraId="2F8ED02C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A3ABA" w14:paraId="0B26B214" w14:textId="77777777" w:rsidTr="00A143AA">
        <w:tc>
          <w:tcPr>
            <w:tcW w:w="3256" w:type="dxa"/>
          </w:tcPr>
          <w:p w14:paraId="195A0880" w14:textId="7CFC6513" w:rsidR="009A3ABA" w:rsidRDefault="009A3ABA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Overall Recall </w:t>
            </w:r>
            <w:r w:rsidR="00200A4E">
              <w:rPr>
                <w:sz w:val="24"/>
                <w:szCs w:val="24"/>
                <w:lang w:val="en-US"/>
              </w:rPr>
              <w:t>period (days)</w:t>
            </w:r>
          </w:p>
        </w:tc>
        <w:tc>
          <w:tcPr>
            <w:tcW w:w="5806" w:type="dxa"/>
          </w:tcPr>
          <w:p w14:paraId="2E04D9DD" w14:textId="77777777" w:rsidR="009A3ABA" w:rsidRDefault="009A3ABA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F4B2A74" w14:textId="77777777" w:rsidTr="00A143AA">
        <w:tc>
          <w:tcPr>
            <w:tcW w:w="3256" w:type="dxa"/>
          </w:tcPr>
          <w:p w14:paraId="48CE032E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distributed quantity</w:t>
            </w:r>
          </w:p>
        </w:tc>
        <w:tc>
          <w:tcPr>
            <w:tcW w:w="5806" w:type="dxa"/>
          </w:tcPr>
          <w:p w14:paraId="225CDB06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C07CBC0" w14:textId="77777777" w:rsidTr="00A143AA">
        <w:tc>
          <w:tcPr>
            <w:tcW w:w="3256" w:type="dxa"/>
          </w:tcPr>
          <w:p w14:paraId="61A88399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Returned quantity</w:t>
            </w:r>
          </w:p>
        </w:tc>
        <w:tc>
          <w:tcPr>
            <w:tcW w:w="5806" w:type="dxa"/>
          </w:tcPr>
          <w:p w14:paraId="18CD6E29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46C8483" w14:textId="77777777" w:rsidTr="00A143AA">
        <w:tc>
          <w:tcPr>
            <w:tcW w:w="3256" w:type="dxa"/>
          </w:tcPr>
          <w:p w14:paraId="722048B5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returned quantity</w:t>
            </w:r>
          </w:p>
        </w:tc>
        <w:tc>
          <w:tcPr>
            <w:tcW w:w="5806" w:type="dxa"/>
          </w:tcPr>
          <w:p w14:paraId="5B923E4A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E60BA85" w14:textId="77777777" w:rsidTr="00A143AA">
        <w:tc>
          <w:tcPr>
            <w:tcW w:w="3256" w:type="dxa"/>
          </w:tcPr>
          <w:p w14:paraId="22245116" w14:textId="3009A83F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r w:rsidR="009A3ABA">
              <w:rPr>
                <w:sz w:val="24"/>
                <w:szCs w:val="24"/>
                <w:lang w:val="en-US"/>
              </w:rPr>
              <w:t>Customers</w:t>
            </w:r>
          </w:p>
        </w:tc>
        <w:tc>
          <w:tcPr>
            <w:tcW w:w="5806" w:type="dxa"/>
          </w:tcPr>
          <w:p w14:paraId="66477502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BE80CBB" w14:textId="77777777" w:rsidTr="00A143AA">
        <w:tc>
          <w:tcPr>
            <w:tcW w:w="3256" w:type="dxa"/>
          </w:tcPr>
          <w:p w14:paraId="3FE076A1" w14:textId="21FB02A4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CompanyName</w:t>
            </w:r>
            <w:proofErr w:type="spellEnd"/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806" w:type="dxa"/>
          </w:tcPr>
          <w:p w14:paraId="2133D110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B12B3C" w14:paraId="29401C8F" w14:textId="77777777" w:rsidTr="00242CA4">
        <w:trPr>
          <w:trHeight w:val="809"/>
        </w:trPr>
        <w:tc>
          <w:tcPr>
            <w:tcW w:w="9062" w:type="dxa"/>
            <w:gridSpan w:val="2"/>
          </w:tcPr>
          <w:p w14:paraId="703D4B6E" w14:textId="77777777" w:rsidR="003915A9" w:rsidRPr="004B28A3" w:rsidRDefault="003A6CA9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B28A3">
              <w:rPr>
                <w:b/>
                <w:bCs/>
                <w:sz w:val="24"/>
                <w:szCs w:val="24"/>
                <w:lang w:val="en-US"/>
              </w:rPr>
              <w:t>Reconciliation conclusion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A83B192" w14:textId="77777777" w:rsidR="003915A9" w:rsidRPr="004B28A3" w:rsidRDefault="003A6CA9" w:rsidP="000D16A4">
            <w:pPr>
              <w:rPr>
                <w:sz w:val="24"/>
                <w:szCs w:val="24"/>
                <w:lang w:val="en-US"/>
              </w:rPr>
            </w:pPr>
            <w:r w:rsidRPr="004B28A3">
              <w:rPr>
                <w:sz w:val="20"/>
                <w:szCs w:val="20"/>
                <w:lang w:val="en-US"/>
              </w:rPr>
              <w:t xml:space="preserve">Explained </w:t>
            </w:r>
            <w:r w:rsidR="000D16A4" w:rsidRPr="004B28A3">
              <w:rPr>
                <w:sz w:val="20"/>
                <w:szCs w:val="20"/>
                <w:lang w:val="en-US"/>
              </w:rPr>
              <w:t>reconciliation between the delivered and recovered quantities of the products</w:t>
            </w:r>
          </w:p>
        </w:tc>
      </w:tr>
      <w:tr w:rsidR="00C450D5" w:rsidRPr="00E2178F" w14:paraId="0A23D989" w14:textId="77777777" w:rsidTr="00242CA4">
        <w:trPr>
          <w:trHeight w:val="809"/>
        </w:trPr>
        <w:tc>
          <w:tcPr>
            <w:tcW w:w="9062" w:type="dxa"/>
            <w:gridSpan w:val="2"/>
          </w:tcPr>
          <w:p w14:paraId="6B1E432F" w14:textId="77777777" w:rsidR="00C450D5" w:rsidRDefault="00C450D5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Detected Deviations, Nonconformances, if any</w:t>
            </w:r>
          </w:p>
          <w:p w14:paraId="04108DFD" w14:textId="69793CCC" w:rsidR="003377C1" w:rsidRPr="003377C1" w:rsidRDefault="003377C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28B7E33B" w14:textId="77777777" w:rsidTr="00242CA4">
        <w:trPr>
          <w:trHeight w:val="552"/>
        </w:trPr>
        <w:tc>
          <w:tcPr>
            <w:tcW w:w="9062" w:type="dxa"/>
            <w:gridSpan w:val="2"/>
          </w:tcPr>
          <w:p w14:paraId="1B9470CB" w14:textId="77777777" w:rsidR="004B28A3" w:rsidRDefault="003A6CA9" w:rsidP="001A710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31950CDA" w14:textId="77777777" w:rsidR="003A5975" w:rsidRDefault="003A5975" w:rsidP="004776FA">
      <w:pPr>
        <w:rPr>
          <w:b/>
          <w:bCs/>
          <w:sz w:val="24"/>
          <w:szCs w:val="24"/>
          <w:lang w:val="en-US"/>
        </w:rPr>
      </w:pPr>
    </w:p>
    <w:bookmarkEnd w:id="1"/>
    <w:bookmarkEnd w:id="2"/>
    <w:p w14:paraId="6114D9D6" w14:textId="77777777" w:rsidR="006A29F0" w:rsidRPr="00471323" w:rsidRDefault="006A29F0" w:rsidP="006A29F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A29F0" w:rsidRPr="00471323" w14:paraId="0152F9AD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77F5C2E7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A4301C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67A8958C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497DFCA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A29F0" w:rsidRPr="00B12B3C" w14:paraId="01E552F7" w14:textId="77777777" w:rsidTr="00CA16C5">
        <w:trPr>
          <w:trHeight w:val="660"/>
        </w:trPr>
        <w:tc>
          <w:tcPr>
            <w:tcW w:w="2983" w:type="dxa"/>
          </w:tcPr>
          <w:p w14:paraId="6741153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 and approved by:</w:t>
            </w:r>
          </w:p>
          <w:p w14:paraId="46D902F4" w14:textId="77777777" w:rsidR="006A29F0" w:rsidRPr="00045B5F" w:rsidRDefault="006A29F0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0E53339E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8EFFA3C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95F8E5D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29DCD60" w14:textId="77777777" w:rsidTr="00CA16C5">
        <w:trPr>
          <w:trHeight w:val="660"/>
        </w:trPr>
        <w:tc>
          <w:tcPr>
            <w:tcW w:w="2983" w:type="dxa"/>
          </w:tcPr>
          <w:p w14:paraId="55AC84A7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669D9F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5DC3E76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5D550B42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76300D1" w14:textId="77777777" w:rsidTr="00CA16C5">
        <w:trPr>
          <w:trHeight w:val="660"/>
        </w:trPr>
        <w:tc>
          <w:tcPr>
            <w:tcW w:w="2983" w:type="dxa"/>
          </w:tcPr>
          <w:p w14:paraId="1ADCB305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FCC83C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03E9707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2D8D78E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B12B3C" w14:paraId="23FBF5EB" w14:textId="77777777" w:rsidTr="00CA16C5">
        <w:trPr>
          <w:trHeight w:val="660"/>
        </w:trPr>
        <w:tc>
          <w:tcPr>
            <w:tcW w:w="2983" w:type="dxa"/>
          </w:tcPr>
          <w:p w14:paraId="1C232ACB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C2D718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66A3D3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74BA23C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58334" w14:textId="77777777" w:rsidR="00CE3F51" w:rsidRPr="00E2178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E2178F" w:rsidSect="00A1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868C" w14:textId="77777777" w:rsidR="007E107E" w:rsidRDefault="007E107E">
      <w:pPr>
        <w:spacing w:after="0"/>
      </w:pPr>
      <w:r>
        <w:separator/>
      </w:r>
    </w:p>
  </w:endnote>
  <w:endnote w:type="continuationSeparator" w:id="0">
    <w:p w14:paraId="6B6EC095" w14:textId="77777777" w:rsidR="007E107E" w:rsidRDefault="007E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78D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2D00E8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9889E59" w14:textId="77777777" w:rsidR="0058673F" w:rsidRDefault="00B12B3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8F058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92F7C8C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DC9D3E3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D27AD1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BE651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DA13" w14:textId="77777777" w:rsidR="00BA5DD1" w:rsidRPr="00915C21" w:rsidRDefault="00BA5DD1" w:rsidP="00BA5DD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E9858A0" w14:textId="77777777" w:rsidR="00CE3F51" w:rsidRPr="00B76D01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5B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BDEF11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B893F3C" w14:textId="77777777" w:rsidR="0058673F" w:rsidRDefault="00B12B3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2D8802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3B4BC0DB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4326627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85C2C7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8E399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2E" w14:textId="77777777" w:rsidR="007E107E" w:rsidRDefault="007E107E">
      <w:pPr>
        <w:spacing w:after="0"/>
      </w:pPr>
      <w:r>
        <w:separator/>
      </w:r>
    </w:p>
  </w:footnote>
  <w:footnote w:type="continuationSeparator" w:id="0">
    <w:p w14:paraId="30BE71E1" w14:textId="77777777" w:rsidR="007E107E" w:rsidRDefault="007E1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2F795C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FC003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561E9D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DE1399D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46C07F0" w14:textId="77777777" w:rsidR="0081583D" w:rsidRPr="0091642B" w:rsidRDefault="00B12B3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C68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C766E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DCF2A1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8E634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82CFF1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97018D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4F34C7D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670DEFA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26E01C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7049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D37B7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E4739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533C09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2178F" w:rsidRPr="0091642B" w14:paraId="0408E0B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DDBE313" w14:textId="77777777" w:rsidR="00E2178F" w:rsidRPr="0091642B" w:rsidRDefault="00E2178F" w:rsidP="00E2178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7A31F8E" w14:textId="77777777" w:rsidR="00E2178F" w:rsidRPr="00B068C1" w:rsidRDefault="00E2178F" w:rsidP="00E2178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7FE4149" w14:textId="2200E2F8" w:rsidR="00E2178F" w:rsidRPr="0081583D" w:rsidRDefault="00E2178F" w:rsidP="00E2178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1B57ED" w14:textId="77777777" w:rsidR="00E2178F" w:rsidRPr="0091642B" w:rsidRDefault="00E2178F" w:rsidP="00E2178F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2178F" w:rsidRPr="0091642B" w14:paraId="7A944069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3A26AA1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E196A0" w14:textId="77777777" w:rsidR="00E2178F" w:rsidRPr="0081583D" w:rsidRDefault="00E2178F" w:rsidP="00E2178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5C66CC" w14:textId="7F1F4B6D" w:rsidR="00E2178F" w:rsidRPr="00B068C1" w:rsidRDefault="004E7A7F" w:rsidP="00E2178F">
          <w:pPr>
            <w:pStyle w:val="Header"/>
            <w:jc w:val="center"/>
          </w:pPr>
          <w:r w:rsidRPr="004E7A7F">
            <w:rPr>
              <w:sz w:val="24"/>
              <w:szCs w:val="24"/>
            </w:rPr>
            <w:t>&lt;</w:t>
          </w:r>
          <w:proofErr w:type="spellStart"/>
          <w:r w:rsidRPr="004E7A7F">
            <w:rPr>
              <w:sz w:val="24"/>
              <w:szCs w:val="24"/>
            </w:rPr>
            <w:t>Recall_Report</w:t>
          </w:r>
          <w:proofErr w:type="spellEnd"/>
          <w:r w:rsidRPr="004E7A7F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0E05E73" w14:textId="77777777" w:rsidR="00E2178F" w:rsidRPr="0091642B" w:rsidRDefault="00E2178F" w:rsidP="00E2178F">
          <w:pPr>
            <w:pStyle w:val="Header"/>
          </w:pPr>
        </w:p>
      </w:tc>
    </w:tr>
    <w:tr w:rsidR="00E2178F" w:rsidRPr="0091642B" w14:paraId="77EC88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477E5CC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B77B15" w14:textId="77777777" w:rsidR="00E2178F" w:rsidRPr="0091642B" w:rsidRDefault="00E2178F" w:rsidP="00E2178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F9A267" w14:textId="77777777" w:rsidR="00E2178F" w:rsidRPr="0091642B" w:rsidRDefault="00E2178F" w:rsidP="00E2178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ED83816" w14:textId="77777777" w:rsidR="00E2178F" w:rsidRPr="0091642B" w:rsidRDefault="00E2178F" w:rsidP="00E2178F">
          <w:pPr>
            <w:pStyle w:val="Header"/>
          </w:pPr>
        </w:p>
      </w:tc>
    </w:tr>
  </w:tbl>
  <w:p w14:paraId="4844F34C" w14:textId="77777777" w:rsidR="00E2178F" w:rsidRDefault="00E2178F" w:rsidP="00E2178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594060" w14:textId="77777777" w:rsidR="000C1FAA" w:rsidRPr="00A143AA" w:rsidRDefault="000C1FAA" w:rsidP="00A14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398BD9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F01D25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9AC140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2F47F8E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CE331F" w14:textId="77777777" w:rsidR="0081583D" w:rsidRPr="0091642B" w:rsidRDefault="00B12B3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75E2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877E3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51632B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A45AE3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F3FB07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960FA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35F3DD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54641B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9169AE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8FF4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093822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972C7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D92A1F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03C0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0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1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F2AE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540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D8F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834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E0DF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7E7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83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424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CCC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53C086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689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2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6961E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646A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90ABE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2659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8E986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156FC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24EFE6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46638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24935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BD4AB5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68AE33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EF8EFD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954F62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5248A6E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2240C54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818439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57E69D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A4C9B5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BC9A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E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79EEF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5D4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E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3C6A61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4AC9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83055D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6F65C8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AF6488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C4679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0D846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A20FE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BE0F2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6A6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574982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CC75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BA28C5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3CDD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FE2B20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9E05D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5AAA4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22C7E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16B5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1A0602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11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8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4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7331">
    <w:abstractNumId w:val="4"/>
  </w:num>
  <w:num w:numId="2" w16cid:durableId="16859176">
    <w:abstractNumId w:val="10"/>
  </w:num>
  <w:num w:numId="3" w16cid:durableId="1528370826">
    <w:abstractNumId w:val="1"/>
  </w:num>
  <w:num w:numId="4" w16cid:durableId="2105376610">
    <w:abstractNumId w:val="2"/>
  </w:num>
  <w:num w:numId="5" w16cid:durableId="2146313626">
    <w:abstractNumId w:val="5"/>
  </w:num>
  <w:num w:numId="6" w16cid:durableId="708997044">
    <w:abstractNumId w:val="12"/>
  </w:num>
  <w:num w:numId="7" w16cid:durableId="1898278470">
    <w:abstractNumId w:val="8"/>
  </w:num>
  <w:num w:numId="8" w16cid:durableId="235484114">
    <w:abstractNumId w:val="11"/>
  </w:num>
  <w:num w:numId="9" w16cid:durableId="54440968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66205215">
    <w:abstractNumId w:val="6"/>
  </w:num>
  <w:num w:numId="11" w16cid:durableId="1524321195">
    <w:abstractNumId w:val="13"/>
  </w:num>
  <w:num w:numId="12" w16cid:durableId="2062047347">
    <w:abstractNumId w:val="6"/>
  </w:num>
  <w:num w:numId="13" w16cid:durableId="101069451">
    <w:abstractNumId w:val="6"/>
  </w:num>
  <w:num w:numId="14" w16cid:durableId="1398361114">
    <w:abstractNumId w:val="6"/>
  </w:num>
  <w:num w:numId="15" w16cid:durableId="943616870">
    <w:abstractNumId w:val="6"/>
  </w:num>
  <w:num w:numId="16" w16cid:durableId="256059183">
    <w:abstractNumId w:val="6"/>
  </w:num>
  <w:num w:numId="17" w16cid:durableId="444232522">
    <w:abstractNumId w:val="6"/>
  </w:num>
  <w:num w:numId="18" w16cid:durableId="1850677246">
    <w:abstractNumId w:val="6"/>
  </w:num>
  <w:num w:numId="19" w16cid:durableId="57100315">
    <w:abstractNumId w:val="9"/>
  </w:num>
  <w:num w:numId="20" w16cid:durableId="18177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255113">
    <w:abstractNumId w:val="6"/>
  </w:num>
  <w:num w:numId="22" w16cid:durableId="1221091098">
    <w:abstractNumId w:val="7"/>
  </w:num>
  <w:num w:numId="23" w16cid:durableId="1959794696">
    <w:abstractNumId w:val="3"/>
  </w:num>
  <w:num w:numId="24" w16cid:durableId="115155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Recall Final Report"/>
    <w:docVar w:name="CS.ID.16" w:val="SOP-QM-0921.A10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6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2C4F"/>
    <w:rsid w:val="00026FC5"/>
    <w:rsid w:val="0003189C"/>
    <w:rsid w:val="000348BF"/>
    <w:rsid w:val="00045D51"/>
    <w:rsid w:val="00047070"/>
    <w:rsid w:val="000609AA"/>
    <w:rsid w:val="000664E7"/>
    <w:rsid w:val="000668C4"/>
    <w:rsid w:val="0007085F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16A4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A710A"/>
    <w:rsid w:val="001B1469"/>
    <w:rsid w:val="001B4C84"/>
    <w:rsid w:val="001D0AAF"/>
    <w:rsid w:val="001D12BD"/>
    <w:rsid w:val="001E5DE0"/>
    <w:rsid w:val="001E73CF"/>
    <w:rsid w:val="001F1D64"/>
    <w:rsid w:val="001F23BE"/>
    <w:rsid w:val="001F3025"/>
    <w:rsid w:val="001F61CE"/>
    <w:rsid w:val="001F6250"/>
    <w:rsid w:val="001F7861"/>
    <w:rsid w:val="00200A4E"/>
    <w:rsid w:val="0020694E"/>
    <w:rsid w:val="00221187"/>
    <w:rsid w:val="00221283"/>
    <w:rsid w:val="002251E8"/>
    <w:rsid w:val="0023360D"/>
    <w:rsid w:val="002363DD"/>
    <w:rsid w:val="002376F7"/>
    <w:rsid w:val="00242CA4"/>
    <w:rsid w:val="00250018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FFC"/>
    <w:rsid w:val="002A467A"/>
    <w:rsid w:val="002B7F69"/>
    <w:rsid w:val="002C0BFD"/>
    <w:rsid w:val="002C4B7E"/>
    <w:rsid w:val="002C4CD5"/>
    <w:rsid w:val="002C6A98"/>
    <w:rsid w:val="002D58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2AEC"/>
    <w:rsid w:val="003377C1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5A9"/>
    <w:rsid w:val="00391A24"/>
    <w:rsid w:val="0039536F"/>
    <w:rsid w:val="0039604F"/>
    <w:rsid w:val="003A31D5"/>
    <w:rsid w:val="003A5975"/>
    <w:rsid w:val="003A6CA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CFB"/>
    <w:rsid w:val="003D7ED9"/>
    <w:rsid w:val="003F1A8C"/>
    <w:rsid w:val="003F25B9"/>
    <w:rsid w:val="003F290E"/>
    <w:rsid w:val="003F494A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28A3"/>
    <w:rsid w:val="004B374E"/>
    <w:rsid w:val="004B55B4"/>
    <w:rsid w:val="004B7354"/>
    <w:rsid w:val="004C0822"/>
    <w:rsid w:val="004C7EBF"/>
    <w:rsid w:val="004D0482"/>
    <w:rsid w:val="004E3219"/>
    <w:rsid w:val="004E32C5"/>
    <w:rsid w:val="004E7A7F"/>
    <w:rsid w:val="004F64AA"/>
    <w:rsid w:val="00504E80"/>
    <w:rsid w:val="00506AD6"/>
    <w:rsid w:val="005126AE"/>
    <w:rsid w:val="00512751"/>
    <w:rsid w:val="00514BF7"/>
    <w:rsid w:val="00525E9C"/>
    <w:rsid w:val="0053154F"/>
    <w:rsid w:val="0053439A"/>
    <w:rsid w:val="005345F1"/>
    <w:rsid w:val="00544DA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0EA2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2583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29F0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107E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04C4"/>
    <w:rsid w:val="00884545"/>
    <w:rsid w:val="008847B0"/>
    <w:rsid w:val="008913F2"/>
    <w:rsid w:val="00895D41"/>
    <w:rsid w:val="0089606B"/>
    <w:rsid w:val="008A5ED1"/>
    <w:rsid w:val="008A5EE7"/>
    <w:rsid w:val="008B2865"/>
    <w:rsid w:val="008B42FF"/>
    <w:rsid w:val="008C1A26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3ABA"/>
    <w:rsid w:val="009A5883"/>
    <w:rsid w:val="009B6730"/>
    <w:rsid w:val="009C07F0"/>
    <w:rsid w:val="009C0D0D"/>
    <w:rsid w:val="009D0F42"/>
    <w:rsid w:val="009D757E"/>
    <w:rsid w:val="009E4AEB"/>
    <w:rsid w:val="009F15D7"/>
    <w:rsid w:val="009F41A0"/>
    <w:rsid w:val="00A06281"/>
    <w:rsid w:val="00A07547"/>
    <w:rsid w:val="00A127C7"/>
    <w:rsid w:val="00A143AA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56F1C"/>
    <w:rsid w:val="00A6224E"/>
    <w:rsid w:val="00A65E87"/>
    <w:rsid w:val="00A73C9A"/>
    <w:rsid w:val="00A77EDF"/>
    <w:rsid w:val="00A802AA"/>
    <w:rsid w:val="00A80403"/>
    <w:rsid w:val="00A8430D"/>
    <w:rsid w:val="00A84F5A"/>
    <w:rsid w:val="00A93E30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2B3C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D01"/>
    <w:rsid w:val="00B80A81"/>
    <w:rsid w:val="00B9748B"/>
    <w:rsid w:val="00B97993"/>
    <w:rsid w:val="00BA43FF"/>
    <w:rsid w:val="00BA4E5B"/>
    <w:rsid w:val="00BA5DD1"/>
    <w:rsid w:val="00BB2882"/>
    <w:rsid w:val="00BB2D71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224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450D5"/>
    <w:rsid w:val="00C52DC5"/>
    <w:rsid w:val="00C64495"/>
    <w:rsid w:val="00C654B6"/>
    <w:rsid w:val="00C67671"/>
    <w:rsid w:val="00C75495"/>
    <w:rsid w:val="00C87590"/>
    <w:rsid w:val="00CA3AE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857FD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78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CF4"/>
    <w:rsid w:val="00ED0DD3"/>
    <w:rsid w:val="00ED2252"/>
    <w:rsid w:val="00EE0FB8"/>
    <w:rsid w:val="00EF6B74"/>
    <w:rsid w:val="00F105F7"/>
    <w:rsid w:val="00F10905"/>
    <w:rsid w:val="00F120C7"/>
    <w:rsid w:val="00F12CE8"/>
    <w:rsid w:val="00F16DCC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566D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F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F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13E9C-4C45-48FD-807C-187C8E073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2318B-A295-4BC6-B19A-F051EAD55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33AFB-8AC9-40BE-BA57-AA03DAECDB27}">
  <ds:schemaRefs>
    <ds:schemaRef ds:uri="http://purl.org/dc/elements/1.1/"/>
    <ds:schemaRef ds:uri="http://www.w3.org/XML/1998/namespace"/>
    <ds:schemaRef ds:uri="32bc7a50-3ff2-450c-9d69-e0a1676158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16</cp:revision>
  <cp:lastPrinted>2021-02-25T11:29:00Z</cp:lastPrinted>
  <dcterms:created xsi:type="dcterms:W3CDTF">2022-06-20T11:36:00Z</dcterms:created>
  <dcterms:modified xsi:type="dcterms:W3CDTF">2022-12-07T10:00:00Z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