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Deviation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Deviation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01-09-2023</w:t>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F92FC-2949-4347-B38C-2781AE6B15A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