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proofErr w:type="spellStart"/>
            <w:r w:rsidR="008B3922" w:rsidRPr="00020903">
              <w:rPr>
                <w:b/>
                <w:bCs/>
                <w:sz w:val="24"/>
                <w:szCs w:val="24"/>
                <w:highlight w:val="yellow"/>
                <w:lang w:val="en-US"/>
              </w:rPr>
            </w:r>
            <w:proofErr w:type="spellEnd"/>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proofErr w:type="spellStart"/>
      <w:r w:rsidR="00236EE1" w:rsidRPr="00020903">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020903">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proofErr w:type="spellStart"/>
      <w:r w:rsidR="003541C1" w:rsidRPr="00020903">
        <w:rPr>
          <w:rFonts w:cstheme="minorHAnsi"/>
          <w:b/>
          <w:bCs/>
          <w:highlight w:val="yellow"/>
          <w:lang w:val="en-US"/>
        </w:rPr>
      </w:r>
      <w:proofErr w:type="spellEnd"/>
      <w:r w:rsidR="003541C1" w:rsidRPr="00020903">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proofErr w:type="spellStart"/>
      <w:r w:rsidR="001B44FF" w:rsidRPr="00020903">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proofErr w:type="spellStart"/>
      <w:r w:rsidR="00E32446" w:rsidRPr="00020903">
        <w:rPr>
          <w:highlight w:val="yellow"/>
          <w:lang w:val="en-US"/>
        </w:rPr>
      </w:r>
      <w:proofErr w:type="spellEnd"/>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NBE-Therapeutics</w:t>
      </w:r>
      <w:proofErr w:type="spellStart"/>
      <w:r w:rsidR="00BD683A" w:rsidRPr="00020903">
        <w:rPr>
          <w:highlight w:val="yellow"/>
          <w:lang w:val="en-US"/>
        </w:rPr>
      </w:r>
      <w:proofErr w:type="spellEnd"/>
      <w:r w:rsidR="00BD683A" w:rsidRPr="00020903">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proofErr w:type="spellStart"/>
      <w:r w:rsidR="00BB7240" w:rsidRPr="00020903">
        <w:rPr>
          <w:highlight w:val="yellow"/>
        </w:rPr>
      </w:r>
      <w:proofErr w:type="spellEnd"/>
      <w:r w:rsidR="00BB7240" w:rsidRPr="00020903">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Annual Product Quality Review</w:t>
      </w:r>
      <w:proofErr w:type="spellStart"/>
      <w:r w:rsidR="006A0A44" w:rsidRPr="006A0A44">
        <w:rPr>
          <w:highlight w:val="yellow"/>
        </w:rPr>
      </w:r>
      <w:proofErr w:type="spellEnd"/>
      <w:r w:rsidR="00F20BEC" w:rsidRPr="006A0A44">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proofErr w:type="spellStart"/>
      <w:r w:rsidRPr="0063361D">
        <w:rPr>
          <w:highlight w:val="yellow"/>
        </w:rPr>
      </w:r>
      <w:proofErr w:type="spellEnd"/>
      <w:r w:rsidRPr="0063361D">
        <w:rPr>
          <w:highlight w:val="yellow"/>
        </w:rPr>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proofErr w:type="spellStart"/>
      <w:r w:rsidRPr="00B17724">
        <w:rPr>
          <w:highlight w:val="yellow"/>
        </w:rPr>
      </w:r>
      <w:proofErr w:type="spellEnd"/>
      <w:r w:rsidRPr="00B17724">
        <w:rPr>
          <w:highlight w:val="yellow"/>
        </w:rPr>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proofErr w:type="spellStart"/>
      <w:r w:rsidRPr="00433520">
        <w:rPr>
          <w:highlight w:val="yellow"/>
        </w:rPr>
      </w:r>
      <w:proofErr w:type="spellEnd"/>
      <w:r w:rsidRPr="00433520">
        <w:rPr>
          <w:highlight w:val="yellow"/>
        </w:rPr>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proofErr w:type="spellStart"/>
      <w:r w:rsidR="002F5E66">
        <w:rPr>
          <w:highlight w:val="yellow"/>
        </w:rPr>
      </w:r>
      <w:r w:rsidR="002F5E66" w:rsidRPr="00D10336">
        <w:rPr>
          <w:highlight w:val="yellow"/>
        </w:rPr>
      </w:r>
      <w:proofErr w:type="spellEnd"/>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Quality Risk Management</w:t>
      </w:r>
      <w:proofErr w:type="spellStart"/>
      <w:r w:rsidR="00D61E27" w:rsidRPr="00020903">
        <w:rPr>
          <w:spacing w:val="-10"/>
          <w:highlight w:val="yellow"/>
        </w:rPr>
      </w:r>
      <w:proofErr w:type="spellEnd"/>
      <w:r w:rsidR="00D61E27" w:rsidRPr="00020903">
        <w:rPr>
          <w:spacing w:val="-10"/>
          <w:highlight w:val="yellow"/>
        </w:rPr>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proofErr w:type="spellStart"/>
      <w:r w:rsidRPr="00DF07BB">
        <w:rPr>
          <w:highlight w:val="yellow"/>
        </w:rPr>
      </w:r>
      <w:proofErr w:type="spellEnd"/>
      <w:r w:rsidRPr="00DF07BB">
        <w:rPr>
          <w:highlight w:val="yellow"/>
        </w:rPr>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NBE-Therapeutics</w:t>
            </w:r>
            <w:proofErr w:type="spellStart"/>
            <w:r/>
            <w:proofErr w:type="spellEnd"/>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roofErr w:type="spellStart"/>
            <w:r w:rsidRPr="005D2669">
              <w:rPr>
                <w:highlight w:val="yellow"/>
              </w:rPr>
            </w:r>
            <w:proofErr w:type="spellEnd"/>
            <w:r w:rsidRPr="005D2669">
              <w:rPr>
                <w:highlight w:val="yellow"/>
              </w:rPr>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proofErr w:type="spellStart"/>
            <w:r w:rsidRPr="00020903">
              <w:rPr>
                <w:highlight w:val="yellow"/>
              </w:rPr>
            </w:r>
            <w:proofErr w:type="spellEnd"/>
            <w:r w:rsidRPr="00020903">
              <w:rPr>
                <w:highlight w:val="yellow"/>
              </w:rPr>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proofErr w:type="spellStart"/>
      <w:r w:rsidR="00D35AC1" w:rsidRPr="00020903">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020903">
        <w:rPr>
          <w:highlight w:val="yellow"/>
        </w:rPr>
      </w:r>
      <w:proofErr w:type="spellEnd"/>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020903">
        <w:rPr>
          <w:highlight w:val="yellow"/>
        </w:rPr>
      </w:r>
      <w:proofErr w:type="spellEnd"/>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020903">
        <w:rPr>
          <w:highlight w:val="yellow"/>
        </w:rPr>
      </w:r>
      <w:proofErr w:type="spellEnd"/>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11C23DB2" w:rsidR="00DE6551" w:rsidRPr="002D13ED" w:rsidRDefault="006B0B9A" w:rsidP="00020903">
      <w:pPr>
        <w:pStyle w:val="BodyText"/>
        <w:spacing w:before="120"/>
        <w:rPr>
          <w:highlight w:val="yellow"/>
        </w:rPr>
      </w:pPr>
      <w:r w:rsidRPr="002D13ED">
        <w:rPr>
          <w:highlight w:val="yellow"/>
        </w:rPr>
        <w:t>SOP-05</w:t>
      </w:r>
      <w:proofErr w:type="spellStart"/>
      <w:r w:rsidR="00BA4D8B" w:rsidRPr="00020903">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020903">
        <w:rPr>
          <w:highlight w:val="yellow"/>
        </w:rPr>
      </w:r>
      <w:proofErr w:type="spellEnd"/>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proofErr w:type="spellStart"/>
      <w:r w:rsidR="001E2E8F" w:rsidRPr="0002090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0065544B" w:rsidRPr="00020903">
        <w:rPr>
          <w:highlight w:val="yellow"/>
        </w:rPr>
      </w:r>
      <w:proofErr w:type="spellEnd"/>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proofErr w:type="spellStart"/>
      <w:r w:rsidR="00243B72" w:rsidRPr="0002090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020903">
        <w:rPr>
          <w:highlight w:val="yellow"/>
        </w:rPr>
      </w:r>
      <w:proofErr w:type="spellEnd"/>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proofErr w:type="spellStart"/>
      <w:r w:rsidR="004711C7" w:rsidRPr="00020903">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Management</w:t>
      </w:r>
      <w:proofErr w:type="spellStart"/>
      <w:r w:rsidR="004711C7" w:rsidRPr="00020903">
        <w:rPr>
          <w:highlight w:val="yellow"/>
        </w:rPr>
      </w:r>
      <w:proofErr w:type="spellEnd"/>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proofErr w:type="spellStart"/>
      <w:r w:rsidR="008A2AAB"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020903">
        <w:rPr>
          <w:highlight w:val="yellow"/>
        </w:rPr>
      </w:r>
      <w:proofErr w:type="spellEnd"/>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proofErr w:type="spellStart"/>
      <w:r w:rsidR="002C52E8" w:rsidRPr="00020903">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020903">
        <w:rPr>
          <w:highlight w:val="yellow"/>
        </w:rPr>
      </w:r>
      <w:proofErr w:type="spellEnd"/>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proofErr w:type="spellStart"/>
      <w:r w:rsidR="00803983" w:rsidRPr="00020903">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020903">
        <w:rPr>
          <w:highlight w:val="yellow"/>
        </w:rPr>
      </w:r>
      <w:proofErr w:type="spellEnd"/>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proofErr w:type="spellStart"/>
      <w:r w:rsidR="003540A3" w:rsidRPr="00020903">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020903">
        <w:rPr>
          <w:highlight w:val="yellow"/>
        </w:rPr>
      </w:r>
      <w:proofErr w:type="spellEnd"/>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proofErr w:type="spellStart"/>
      <w:r w:rsidR="00AC32AF" w:rsidRPr="00020903">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020903">
        <w:rPr>
          <w:highlight w:val="yellow"/>
        </w:rPr>
      </w:r>
      <w:proofErr w:type="spellEnd"/>
      <w:r w:rsidRPr="002D13ED">
        <w:rPr>
          <w:highlight w:val="yellow"/>
        </w:rPr>
      </w:r>
    </w:p>
    <w:p w14:paraId="3708C46D" w14:textId="70E8B8F3" w:rsidR="007F3CC7" w:rsidRDefault="00370DB9" w:rsidP="00020903">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w:t>
          </w:r>
          <w:proofErr w:type="spellStart"/>
          <w:r w:rsidRPr="00A14FF4">
            <w:rPr>
              <w:rFonts w:ascii="Calibri" w:eastAsia="Calibri" w:hAnsi="Calibri" w:cs="Calibri"/>
              <w:lang w:val="en-US" w:bidi="en-US"/>
            </w:rPr>
          </w:r>
          <w:r w:rsidR="00435194" w:rsidRPr="00A14FF4">
            <w:rPr>
              <w:rFonts w:ascii="Calibri" w:eastAsia="Calibri" w:hAnsi="Calibri" w:cs="Calibri"/>
              <w:lang w:val="en-US" w:bidi="en-US"/>
            </w:rPr>
          </w:r>
          <w:r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r>
          <w:proofErr w:type="spellStart"/>
          <w:r w:rsidRPr="00A14FF4">
            <w:rPr>
              <w:rFonts w:ascii="Calibri" w:eastAsia="Calibri" w:hAnsi="Calibri" w:cs="Calibri"/>
              <w:lang w:val="en-US" w:bidi="en-US"/>
            </w:rPr>
          </w:r>
          <w:proofErr w:type="spellEnd"/>
          <w:r w:rsidRPr="00A14FF4">
            <w:rPr>
              <w:rFonts w:ascii="Calibri" w:eastAsia="Calibri" w:hAnsi="Calibri" w:cs="Calibri"/>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proofErr w:type="spellStart"/>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r>
    <w:proofErr w:type="spellStart"/>
    <w:r w:rsidR="00911ADC" w:rsidRPr="00A14FF4">
      <w:rPr>
        <w:rFonts w:ascii="Calibri" w:hAnsi="Calibri" w:cs="Calibri"/>
        <w:i/>
        <w:iCs/>
        <w:sz w:val="18"/>
        <w:szCs w:val="18"/>
        <w:lang w:val="en-US"/>
      </w:rPr>
    </w:r>
    <w:proofErr w:type="spellEnd"/>
    <w:r w:rsidR="00911ADC" w:rsidRPr="00A14FF4">
      <w:rPr>
        <w:rFonts w:ascii="Calibri" w:hAnsi="Calibri" w:cs="Calibri"/>
        <w:i/>
        <w:iCs/>
        <w:sz w:val="18"/>
        <w:szCs w:val="18"/>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