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2023-01-11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Company ABC</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SOP-10</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Company ABC</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e.g., 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e.g., 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e.g., 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e.g., 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Company ABC</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Company ABC</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e.g., 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Company ABC</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MD-01</w:t>
      </w:r>
      <w:proofErr w:type="spellStart"/>
      <w:r w:rsidR="001509B1" w:rsidRPr="002D377B">
        <w:rPr>
          <w:b/>
          <w:bCs/>
          <w:highlight w:val="yellow"/>
        </w:rPr>
      </w:r>
      <w:proofErr w:type="spellEnd"/>
      <w:r w:rsidR="001509B1" w:rsidRPr="002D377B">
        <w:rPr>
          <w:b/>
          <w:bCs/>
          <w:highlight w:val="yellow"/>
        </w:rPr>
        <w:t xml:space="preserve"> Quality Manual</w:t>
      </w:r>
      <w:proofErr w:type="spellStart"/>
      <w:r w:rsidR="001509B1" w:rsidRPr="002D377B">
        <w:rPr>
          <w:b/>
          <w:bCs/>
          <w:highlight w:val="yellow"/>
        </w:rPr>
      </w:r>
      <w:proofErr w:type="spellEnd"/>
      <w:r w:rsidR="001509B1" w:rsidRPr="002D377B">
        <w:rPr>
          <w:b/>
          <w:bCs/>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SOP-05</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SOP-10</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SOP-02</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Company ABC</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e.g., 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e.g., 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e.g., 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Company ABC</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e.g., 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e.g., 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Company ABC</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SOP-10</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SOP-10</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Company ABC</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Company ABC</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Company ABC</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SOP-16</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SOP-02</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SOP-05</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SOP-10</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2023-01-11</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