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Company CDE</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 CDE</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Company CDE</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 CDE</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 (CDE)</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 (CDE)</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r>
          <w:proofErr w:type="spellStart"/>
          <w:r w:rsidRPr="005112EA">
            <w:rPr>
              <w:rFonts w:cstheme="minorHAnsi"/>
              <w:sz w:val="24"/>
              <w:szCs w:val="32"/>
              <w:highlight w:val="yellow"/>
            </w:rPr>
          </w:r>
          <w:proofErr w:type="spellEnd"/>
          <w:r w:rsidRPr="005112EA">
            <w:rPr>
              <w:rFonts w:cstheme="minorHAnsi"/>
              <w:sz w:val="24"/>
              <w:szCs w:val="32"/>
              <w:highlight w:val="yellow"/>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