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Company ABC</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e.g., Quality Management Director</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Company ABC</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e.g., Quality Management Director</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Company ABC</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ABC</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Signatures and Initials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MD-01</w:t>
      </w:r>
      <w:r w:rsidR="00E61C1A" w:rsidRPr="006A7658">
        <w:rPr>
          <w:bCs/>
        </w:rPr>
        <w:tab/>
      </w:r>
      <w:r w:rsidRPr="006A7658">
        <w:rPr>
          <w:bCs/>
        </w:rPr>
        <w:t xml:space="preserve">Quality Manual</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SOP-02</w:t>
      </w:r>
      <w:r w:rsidR="00E61C1A" w:rsidRPr="006A7658">
        <w:rPr>
          <w:bCs/>
        </w:rPr>
        <w:tab/>
      </w:r>
      <w:r w:rsidRPr="006A7658">
        <w:rPr>
          <w:bCs/>
        </w:rPr>
        <w:t xml:space="preserve">Good Documentation Practice</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SOP-16</w:t>
      </w:r>
      <w:r w:rsidR="00F87BD1" w:rsidRPr="006A7658">
        <w:tab/>
      </w:r>
      <w:r w:rsidRPr="006A7658">
        <w:t xml:space="preserve">Archiving</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Signatures and Initials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SOP-02</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